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613C5" w14:textId="77777777" w:rsidR="00E96E6C" w:rsidRPr="00A14FB6" w:rsidRDefault="00131CA7" w:rsidP="00E96E6C">
      <w:pPr>
        <w:pStyle w:val="BodyText"/>
        <w:spacing w:after="0"/>
        <w:rPr>
          <w:b/>
          <w:color w:val="FF0000"/>
          <w:sz w:val="18"/>
          <w:szCs w:val="18"/>
        </w:rPr>
      </w:pPr>
      <w:bookmarkStart w:id="0" w:name="_GoBack"/>
      <w:bookmarkEnd w:id="0"/>
      <w:r w:rsidRPr="00A14FB6">
        <w:rPr>
          <w:b/>
          <w:color w:val="FF0000"/>
          <w:sz w:val="18"/>
          <w:szCs w:val="18"/>
        </w:rPr>
        <w:t>Scatec</w:t>
      </w:r>
      <w:r w:rsidR="00E96E6C" w:rsidRPr="00A14FB6">
        <w:rPr>
          <w:b/>
          <w:color w:val="FF0000"/>
          <w:sz w:val="18"/>
          <w:szCs w:val="18"/>
        </w:rPr>
        <w:t xml:space="preserve">: </w:t>
      </w:r>
      <w:r w:rsidR="00167CF6">
        <w:rPr>
          <w:b/>
          <w:color w:val="FF0000"/>
          <w:sz w:val="18"/>
          <w:szCs w:val="18"/>
        </w:rPr>
        <w:t>Sabac Residential Buildings – Energy Efficiency Project</w:t>
      </w:r>
      <w:r w:rsidR="00E96E6C" w:rsidRPr="00A14FB6">
        <w:rPr>
          <w:b/>
          <w:color w:val="FF0000"/>
          <w:sz w:val="18"/>
          <w:szCs w:val="18"/>
        </w:rPr>
        <w:t xml:space="preserve">, </w:t>
      </w:r>
      <w:r w:rsidR="00167CF6">
        <w:rPr>
          <w:b/>
          <w:color w:val="FF0000"/>
          <w:sz w:val="18"/>
          <w:szCs w:val="18"/>
        </w:rPr>
        <w:t>Serbia</w:t>
      </w:r>
    </w:p>
    <w:p w14:paraId="1FD13733" w14:textId="77777777" w:rsidR="00651156" w:rsidRPr="00A14FB6" w:rsidRDefault="00651156">
      <w:pPr>
        <w:pStyle w:val="BodyText"/>
        <w:rPr>
          <w:b/>
          <w:color w:val="FF0000"/>
          <w:sz w:val="18"/>
          <w:szCs w:val="18"/>
        </w:rPr>
      </w:pPr>
      <w:r w:rsidRPr="00A14FB6">
        <w:rPr>
          <w:b/>
          <w:color w:val="FF0000"/>
          <w:sz w:val="18"/>
          <w:szCs w:val="18"/>
        </w:rPr>
        <w:t>Environmental and Social Action Plan</w:t>
      </w:r>
      <w:r w:rsidR="00E96E6C" w:rsidRPr="00A14FB6">
        <w:rPr>
          <w:b/>
          <w:color w:val="FF0000"/>
          <w:sz w:val="18"/>
          <w:szCs w:val="18"/>
        </w:rPr>
        <w:t xml:space="preserve"> (ESAP)</w:t>
      </w:r>
    </w:p>
    <w:tbl>
      <w:tblPr>
        <w:tblW w:w="148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40" w:type="dxa"/>
          <w:right w:w="40" w:type="dxa"/>
        </w:tblCellMar>
        <w:tblLook w:val="0000" w:firstRow="0" w:lastRow="0" w:firstColumn="0" w:lastColumn="0" w:noHBand="0" w:noVBand="0"/>
      </w:tblPr>
      <w:tblGrid>
        <w:gridCol w:w="467"/>
        <w:gridCol w:w="3215"/>
        <w:gridCol w:w="1700"/>
        <w:gridCol w:w="2268"/>
        <w:gridCol w:w="1984"/>
        <w:gridCol w:w="1560"/>
        <w:gridCol w:w="1882"/>
        <w:gridCol w:w="1715"/>
        <w:gridCol w:w="64"/>
      </w:tblGrid>
      <w:tr w:rsidR="005B2153" w:rsidRPr="00A14FB6" w14:paraId="349DA43B" w14:textId="77777777" w:rsidTr="005B2153">
        <w:trPr>
          <w:gridAfter w:val="1"/>
          <w:wAfter w:w="64" w:type="dxa"/>
          <w:cantSplit/>
          <w:trHeight w:val="1015"/>
          <w:tblHeader/>
        </w:trPr>
        <w:tc>
          <w:tcPr>
            <w:tcW w:w="467" w:type="dxa"/>
            <w:shd w:val="clear" w:color="auto" w:fill="auto"/>
            <w:vAlign w:val="center"/>
          </w:tcPr>
          <w:p w14:paraId="383F66B6" w14:textId="77777777" w:rsidR="00651156" w:rsidRPr="00A14FB6" w:rsidRDefault="00651156" w:rsidP="00E96E6C">
            <w:pPr>
              <w:jc w:val="left"/>
              <w:rPr>
                <w:b/>
                <w:color w:val="FF0000"/>
                <w:sz w:val="17"/>
                <w:szCs w:val="17"/>
              </w:rPr>
            </w:pPr>
            <w:r w:rsidRPr="00A14FB6">
              <w:rPr>
                <w:b/>
                <w:color w:val="FF0000"/>
                <w:sz w:val="17"/>
                <w:szCs w:val="17"/>
              </w:rPr>
              <w:t>No</w:t>
            </w:r>
          </w:p>
        </w:tc>
        <w:tc>
          <w:tcPr>
            <w:tcW w:w="3215" w:type="dxa"/>
            <w:shd w:val="clear" w:color="auto" w:fill="auto"/>
            <w:vAlign w:val="center"/>
          </w:tcPr>
          <w:p w14:paraId="73541D05" w14:textId="77777777" w:rsidR="00651156" w:rsidRPr="00A14FB6" w:rsidRDefault="00651156" w:rsidP="00E96E6C">
            <w:pPr>
              <w:jc w:val="left"/>
              <w:rPr>
                <w:b/>
                <w:color w:val="FF0000"/>
                <w:sz w:val="17"/>
                <w:szCs w:val="17"/>
              </w:rPr>
            </w:pPr>
            <w:r w:rsidRPr="00A14FB6">
              <w:rPr>
                <w:b/>
                <w:color w:val="FF0000"/>
                <w:sz w:val="17"/>
                <w:szCs w:val="17"/>
              </w:rPr>
              <w:t>Action</w:t>
            </w:r>
          </w:p>
        </w:tc>
        <w:tc>
          <w:tcPr>
            <w:tcW w:w="1700" w:type="dxa"/>
            <w:shd w:val="clear" w:color="auto" w:fill="auto"/>
            <w:vAlign w:val="center"/>
          </w:tcPr>
          <w:p w14:paraId="7CEA3EE6" w14:textId="77777777" w:rsidR="00651156" w:rsidRPr="00A14FB6" w:rsidRDefault="00651156" w:rsidP="00E96E6C">
            <w:pPr>
              <w:ind w:right="84"/>
              <w:jc w:val="left"/>
              <w:rPr>
                <w:b/>
                <w:color w:val="FF0000"/>
                <w:sz w:val="17"/>
                <w:szCs w:val="17"/>
              </w:rPr>
            </w:pPr>
            <w:r w:rsidRPr="00A14FB6">
              <w:rPr>
                <w:b/>
                <w:color w:val="FF0000"/>
                <w:sz w:val="17"/>
                <w:szCs w:val="17"/>
              </w:rPr>
              <w:t>Environmental Risks, Liability/ Benefits</w:t>
            </w:r>
          </w:p>
        </w:tc>
        <w:tc>
          <w:tcPr>
            <w:tcW w:w="2268" w:type="dxa"/>
            <w:shd w:val="clear" w:color="auto" w:fill="auto"/>
            <w:vAlign w:val="center"/>
          </w:tcPr>
          <w:p w14:paraId="417C07F3" w14:textId="77777777" w:rsidR="00E96E6C" w:rsidRPr="00A14FB6" w:rsidRDefault="00E96E6C" w:rsidP="00E96E6C">
            <w:pPr>
              <w:ind w:right="92"/>
              <w:jc w:val="left"/>
              <w:rPr>
                <w:b/>
                <w:color w:val="FF0000"/>
                <w:sz w:val="17"/>
                <w:szCs w:val="17"/>
              </w:rPr>
            </w:pPr>
            <w:r w:rsidRPr="00A14FB6">
              <w:rPr>
                <w:b/>
                <w:color w:val="FF0000"/>
                <w:sz w:val="17"/>
                <w:szCs w:val="17"/>
              </w:rPr>
              <w:t>Legislative R</w:t>
            </w:r>
            <w:r w:rsidR="00651156" w:rsidRPr="00A14FB6">
              <w:rPr>
                <w:b/>
                <w:color w:val="FF0000"/>
                <w:sz w:val="17"/>
                <w:szCs w:val="17"/>
              </w:rPr>
              <w:t>equirement</w:t>
            </w:r>
            <w:r w:rsidRPr="00A14FB6">
              <w:rPr>
                <w:b/>
                <w:color w:val="FF0000"/>
                <w:sz w:val="17"/>
                <w:szCs w:val="17"/>
              </w:rPr>
              <w:t xml:space="preserve"> /</w:t>
            </w:r>
          </w:p>
          <w:p w14:paraId="4E49BBA2" w14:textId="77777777" w:rsidR="00E96E6C" w:rsidRPr="00A14FB6" w:rsidRDefault="00651156" w:rsidP="00E96E6C">
            <w:pPr>
              <w:ind w:right="92"/>
              <w:jc w:val="left"/>
              <w:rPr>
                <w:b/>
                <w:color w:val="FF0000"/>
                <w:sz w:val="17"/>
                <w:szCs w:val="17"/>
              </w:rPr>
            </w:pPr>
            <w:r w:rsidRPr="00A14FB6">
              <w:rPr>
                <w:b/>
                <w:color w:val="FF0000"/>
                <w:sz w:val="17"/>
                <w:szCs w:val="17"/>
              </w:rPr>
              <w:t xml:space="preserve"> EBRD</w:t>
            </w:r>
            <w:r w:rsidR="00E96E6C" w:rsidRPr="00A14FB6">
              <w:rPr>
                <w:b/>
                <w:color w:val="FF0000"/>
                <w:sz w:val="17"/>
                <w:szCs w:val="17"/>
              </w:rPr>
              <w:t xml:space="preserve"> Performance Requirement (PR)</w:t>
            </w:r>
            <w:r w:rsidRPr="00A14FB6">
              <w:rPr>
                <w:b/>
                <w:color w:val="FF0000"/>
                <w:sz w:val="17"/>
                <w:szCs w:val="17"/>
              </w:rPr>
              <w:t xml:space="preserve"> /</w:t>
            </w:r>
          </w:p>
          <w:p w14:paraId="7DB02531" w14:textId="77777777" w:rsidR="00651156" w:rsidRPr="00A14FB6" w:rsidRDefault="00651156" w:rsidP="00E96E6C">
            <w:pPr>
              <w:ind w:right="92"/>
              <w:jc w:val="left"/>
              <w:rPr>
                <w:b/>
                <w:color w:val="FF0000"/>
                <w:sz w:val="17"/>
                <w:szCs w:val="17"/>
              </w:rPr>
            </w:pPr>
            <w:r w:rsidRPr="00A14FB6">
              <w:rPr>
                <w:b/>
                <w:color w:val="FF0000"/>
                <w:sz w:val="17"/>
                <w:szCs w:val="17"/>
              </w:rPr>
              <w:t xml:space="preserve"> Good practice</w:t>
            </w:r>
          </w:p>
        </w:tc>
        <w:tc>
          <w:tcPr>
            <w:tcW w:w="1984" w:type="dxa"/>
            <w:shd w:val="clear" w:color="auto" w:fill="auto"/>
            <w:vAlign w:val="center"/>
          </w:tcPr>
          <w:p w14:paraId="698FC5DB" w14:textId="77777777" w:rsidR="00E96E6C" w:rsidRPr="00A14FB6" w:rsidRDefault="00651156" w:rsidP="00E96E6C">
            <w:pPr>
              <w:jc w:val="left"/>
              <w:rPr>
                <w:b/>
                <w:color w:val="FF0000"/>
                <w:sz w:val="17"/>
                <w:szCs w:val="17"/>
              </w:rPr>
            </w:pPr>
            <w:r w:rsidRPr="00A14FB6">
              <w:rPr>
                <w:b/>
                <w:color w:val="FF0000"/>
                <w:sz w:val="17"/>
                <w:szCs w:val="17"/>
              </w:rPr>
              <w:t>Investment Needs</w:t>
            </w:r>
            <w:r w:rsidR="00E96E6C" w:rsidRPr="00A14FB6">
              <w:rPr>
                <w:b/>
                <w:color w:val="FF0000"/>
                <w:sz w:val="17"/>
                <w:szCs w:val="17"/>
              </w:rPr>
              <w:t xml:space="preserve"> </w:t>
            </w:r>
            <w:r w:rsidRPr="00A14FB6">
              <w:rPr>
                <w:b/>
                <w:color w:val="FF0000"/>
                <w:sz w:val="17"/>
                <w:szCs w:val="17"/>
              </w:rPr>
              <w:t>/</w:t>
            </w:r>
          </w:p>
          <w:p w14:paraId="4BA6428B" w14:textId="77777777" w:rsidR="00651156" w:rsidRPr="00A14FB6" w:rsidRDefault="00651156" w:rsidP="00E96E6C">
            <w:pPr>
              <w:jc w:val="left"/>
              <w:rPr>
                <w:b/>
                <w:color w:val="FF0000"/>
                <w:sz w:val="17"/>
                <w:szCs w:val="17"/>
              </w:rPr>
            </w:pPr>
            <w:r w:rsidRPr="00A14FB6">
              <w:rPr>
                <w:b/>
                <w:color w:val="FF0000"/>
                <w:sz w:val="17"/>
                <w:szCs w:val="17"/>
              </w:rPr>
              <w:t>Resources Costs</w:t>
            </w:r>
          </w:p>
        </w:tc>
        <w:tc>
          <w:tcPr>
            <w:tcW w:w="1560" w:type="dxa"/>
            <w:shd w:val="clear" w:color="auto" w:fill="auto"/>
            <w:vAlign w:val="center"/>
          </w:tcPr>
          <w:p w14:paraId="44539C1F" w14:textId="77777777" w:rsidR="00651156" w:rsidRPr="00A14FB6" w:rsidRDefault="00651156" w:rsidP="00E96E6C">
            <w:pPr>
              <w:jc w:val="left"/>
              <w:rPr>
                <w:b/>
                <w:color w:val="FF0000"/>
                <w:sz w:val="17"/>
                <w:szCs w:val="17"/>
              </w:rPr>
            </w:pPr>
            <w:r w:rsidRPr="00A14FB6">
              <w:rPr>
                <w:b/>
                <w:color w:val="FF0000"/>
                <w:sz w:val="17"/>
                <w:szCs w:val="17"/>
              </w:rPr>
              <w:t xml:space="preserve">Timetable Action </w:t>
            </w:r>
            <w:r w:rsidR="00E96E6C" w:rsidRPr="00A14FB6">
              <w:rPr>
                <w:b/>
                <w:color w:val="FF0000"/>
                <w:sz w:val="17"/>
                <w:szCs w:val="17"/>
              </w:rPr>
              <w:t>Due Date</w:t>
            </w:r>
          </w:p>
        </w:tc>
        <w:tc>
          <w:tcPr>
            <w:tcW w:w="1882" w:type="dxa"/>
            <w:shd w:val="clear" w:color="auto" w:fill="auto"/>
            <w:vAlign w:val="center"/>
          </w:tcPr>
          <w:p w14:paraId="569931FE" w14:textId="77777777" w:rsidR="00651156" w:rsidRPr="00A14FB6" w:rsidRDefault="00651156" w:rsidP="00E96E6C">
            <w:pPr>
              <w:jc w:val="left"/>
              <w:rPr>
                <w:b/>
                <w:color w:val="FF0000"/>
                <w:sz w:val="17"/>
                <w:szCs w:val="17"/>
              </w:rPr>
            </w:pPr>
            <w:r w:rsidRPr="00A14FB6">
              <w:rPr>
                <w:b/>
                <w:color w:val="FF0000"/>
                <w:sz w:val="17"/>
                <w:szCs w:val="17"/>
              </w:rPr>
              <w:t xml:space="preserve">Target and Evaluation Criteria </w:t>
            </w:r>
            <w:r w:rsidR="003D56B9" w:rsidRPr="00A14FB6">
              <w:rPr>
                <w:b/>
                <w:color w:val="FF0000"/>
                <w:sz w:val="17"/>
                <w:szCs w:val="17"/>
              </w:rPr>
              <w:t>for</w:t>
            </w:r>
            <w:r w:rsidRPr="00A14FB6">
              <w:rPr>
                <w:b/>
                <w:color w:val="FF0000"/>
                <w:sz w:val="17"/>
                <w:szCs w:val="17"/>
              </w:rPr>
              <w:t xml:space="preserve"> Successful Implementation</w:t>
            </w:r>
          </w:p>
        </w:tc>
        <w:tc>
          <w:tcPr>
            <w:tcW w:w="1715" w:type="dxa"/>
            <w:shd w:val="clear" w:color="auto" w:fill="auto"/>
            <w:vAlign w:val="center"/>
          </w:tcPr>
          <w:p w14:paraId="4E1FCA38" w14:textId="77777777" w:rsidR="00651156" w:rsidRPr="00A14FB6" w:rsidRDefault="00651156" w:rsidP="00E96E6C">
            <w:pPr>
              <w:jc w:val="left"/>
              <w:rPr>
                <w:b/>
                <w:color w:val="FF0000"/>
                <w:sz w:val="17"/>
                <w:szCs w:val="17"/>
              </w:rPr>
            </w:pPr>
            <w:r w:rsidRPr="00A14FB6">
              <w:rPr>
                <w:b/>
                <w:color w:val="FF0000"/>
                <w:sz w:val="17"/>
                <w:szCs w:val="17"/>
              </w:rPr>
              <w:t>Comment</w:t>
            </w:r>
          </w:p>
        </w:tc>
      </w:tr>
      <w:tr w:rsidR="00651156" w:rsidRPr="00A14FB6" w14:paraId="35C55ADF" w14:textId="77777777" w:rsidTr="005B2153">
        <w:trPr>
          <w:cantSplit/>
          <w:trHeight w:val="478"/>
        </w:trPr>
        <w:tc>
          <w:tcPr>
            <w:tcW w:w="14855" w:type="dxa"/>
            <w:gridSpan w:val="9"/>
            <w:vAlign w:val="center"/>
          </w:tcPr>
          <w:p w14:paraId="1EB235C4" w14:textId="77777777" w:rsidR="00651156" w:rsidRPr="008D56F2" w:rsidRDefault="0098083D" w:rsidP="00E96E6C">
            <w:pPr>
              <w:jc w:val="left"/>
              <w:rPr>
                <w:b/>
                <w:i/>
                <w:sz w:val="17"/>
                <w:szCs w:val="17"/>
                <w:highlight w:val="yellow"/>
              </w:rPr>
            </w:pPr>
            <w:r w:rsidRPr="008D56F2">
              <w:rPr>
                <w:b/>
                <w:i/>
                <w:sz w:val="17"/>
                <w:szCs w:val="17"/>
              </w:rPr>
              <w:t>PR 1: Assessment and Management of Environmental and Social Impacts and Issues</w:t>
            </w:r>
          </w:p>
        </w:tc>
      </w:tr>
      <w:tr w:rsidR="005B2153" w:rsidRPr="00A14FB6" w14:paraId="680EF114" w14:textId="77777777" w:rsidTr="005B2153">
        <w:trPr>
          <w:gridAfter w:val="1"/>
          <w:wAfter w:w="64" w:type="dxa"/>
          <w:trHeight w:val="342"/>
        </w:trPr>
        <w:tc>
          <w:tcPr>
            <w:tcW w:w="467" w:type="dxa"/>
          </w:tcPr>
          <w:p w14:paraId="6F3BFF77" w14:textId="77777777" w:rsidR="00533CA1" w:rsidRPr="00CB39E9" w:rsidRDefault="000A0B21">
            <w:pPr>
              <w:rPr>
                <w:sz w:val="17"/>
                <w:szCs w:val="17"/>
              </w:rPr>
            </w:pPr>
            <w:r w:rsidRPr="00CB39E9">
              <w:rPr>
                <w:sz w:val="17"/>
                <w:szCs w:val="17"/>
              </w:rPr>
              <w:t>1.1</w:t>
            </w:r>
          </w:p>
        </w:tc>
        <w:tc>
          <w:tcPr>
            <w:tcW w:w="3215" w:type="dxa"/>
          </w:tcPr>
          <w:p w14:paraId="6BC46BFE" w14:textId="77777777" w:rsidR="00533CA1" w:rsidRPr="008D56F2" w:rsidRDefault="00533CA1" w:rsidP="00E96E6C">
            <w:pPr>
              <w:jc w:val="left"/>
              <w:rPr>
                <w:sz w:val="17"/>
                <w:szCs w:val="17"/>
              </w:rPr>
            </w:pPr>
            <w:r w:rsidRPr="00B53926">
              <w:rPr>
                <w:rFonts w:eastAsia="Calibri"/>
                <w:sz w:val="17"/>
                <w:szCs w:val="17"/>
              </w:rPr>
              <w:t>Prepare and submit Annual Environmental and Social reports (AESRs) on the status of this ESAP implementation and ongoing Environmental Health Safety and Social (EHSS) performance</w:t>
            </w:r>
          </w:p>
        </w:tc>
        <w:tc>
          <w:tcPr>
            <w:tcW w:w="1700" w:type="dxa"/>
          </w:tcPr>
          <w:p w14:paraId="696FE189" w14:textId="77777777" w:rsidR="00533CA1" w:rsidRPr="008D56F2" w:rsidRDefault="00533CA1" w:rsidP="00E96E6C">
            <w:pPr>
              <w:jc w:val="left"/>
              <w:rPr>
                <w:sz w:val="17"/>
                <w:szCs w:val="17"/>
              </w:rPr>
            </w:pPr>
            <w:r w:rsidRPr="008D56F2">
              <w:rPr>
                <w:rFonts w:eastAsia="Calibri"/>
                <w:sz w:val="17"/>
                <w:szCs w:val="17"/>
              </w:rPr>
              <w:t xml:space="preserve">Monitoring of ESAP implementation and EHSS performance </w:t>
            </w:r>
          </w:p>
        </w:tc>
        <w:tc>
          <w:tcPr>
            <w:tcW w:w="2268" w:type="dxa"/>
          </w:tcPr>
          <w:p w14:paraId="042C4520" w14:textId="77777777" w:rsidR="00533CA1" w:rsidRPr="008D56F2" w:rsidRDefault="00533CA1" w:rsidP="00E96E6C">
            <w:pPr>
              <w:jc w:val="left"/>
              <w:rPr>
                <w:sz w:val="17"/>
                <w:szCs w:val="17"/>
              </w:rPr>
            </w:pPr>
            <w:r w:rsidRPr="008D56F2">
              <w:rPr>
                <w:rFonts w:eastAsia="Calibri"/>
                <w:sz w:val="17"/>
                <w:szCs w:val="17"/>
              </w:rPr>
              <w:t>EBRD Environmental and Social Policy (ESP) and Performance Requirements (PRs)</w:t>
            </w:r>
          </w:p>
        </w:tc>
        <w:tc>
          <w:tcPr>
            <w:tcW w:w="1984" w:type="dxa"/>
          </w:tcPr>
          <w:p w14:paraId="316495DF" w14:textId="77777777" w:rsidR="00533CA1" w:rsidRPr="008D56F2" w:rsidRDefault="00533CA1" w:rsidP="00E96E6C">
            <w:pPr>
              <w:jc w:val="left"/>
              <w:rPr>
                <w:sz w:val="17"/>
                <w:szCs w:val="17"/>
              </w:rPr>
            </w:pPr>
            <w:r w:rsidRPr="008D56F2">
              <w:rPr>
                <w:rFonts w:eastAsia="Calibri"/>
                <w:sz w:val="17"/>
                <w:szCs w:val="17"/>
              </w:rPr>
              <w:t>Internal resource</w:t>
            </w:r>
          </w:p>
        </w:tc>
        <w:tc>
          <w:tcPr>
            <w:tcW w:w="1560" w:type="dxa"/>
          </w:tcPr>
          <w:p w14:paraId="7AD65D28" w14:textId="77777777" w:rsidR="00533CA1" w:rsidRPr="008D56F2" w:rsidRDefault="00CB39E9" w:rsidP="00E96E6C">
            <w:pPr>
              <w:jc w:val="left"/>
              <w:rPr>
                <w:sz w:val="17"/>
                <w:szCs w:val="17"/>
              </w:rPr>
            </w:pPr>
            <w:r w:rsidRPr="008D56F2">
              <w:rPr>
                <w:rFonts w:eastAsia="Calibri"/>
                <w:sz w:val="17"/>
                <w:szCs w:val="17"/>
              </w:rPr>
              <w:t>Annual reporting in line with EBRD requirements (AESR)</w:t>
            </w:r>
            <w:r w:rsidR="00533CA1" w:rsidRPr="008D56F2">
              <w:rPr>
                <w:rFonts w:eastAsia="Calibri"/>
                <w:sz w:val="17"/>
                <w:szCs w:val="17"/>
              </w:rPr>
              <w:t xml:space="preserve"> </w:t>
            </w:r>
          </w:p>
        </w:tc>
        <w:tc>
          <w:tcPr>
            <w:tcW w:w="1882" w:type="dxa"/>
          </w:tcPr>
          <w:p w14:paraId="0CC0BCDF" w14:textId="77777777" w:rsidR="00533CA1" w:rsidRPr="008D56F2" w:rsidRDefault="00533CA1" w:rsidP="00DC59C4">
            <w:pPr>
              <w:jc w:val="left"/>
              <w:rPr>
                <w:sz w:val="17"/>
                <w:szCs w:val="17"/>
              </w:rPr>
            </w:pPr>
            <w:r w:rsidRPr="008D56F2">
              <w:rPr>
                <w:rFonts w:eastAsia="Calibri"/>
                <w:sz w:val="17"/>
                <w:szCs w:val="17"/>
              </w:rPr>
              <w:t>Annual submission of reports</w:t>
            </w:r>
            <w:r w:rsidR="00CB39E9" w:rsidRPr="008D56F2">
              <w:rPr>
                <w:rFonts w:eastAsia="Calibri"/>
                <w:sz w:val="17"/>
                <w:szCs w:val="17"/>
              </w:rPr>
              <w:t xml:space="preserve"> (AESR) </w:t>
            </w:r>
            <w:r w:rsidRPr="008D56F2">
              <w:rPr>
                <w:rFonts w:eastAsia="Calibri"/>
                <w:sz w:val="17"/>
                <w:szCs w:val="17"/>
              </w:rPr>
              <w:t xml:space="preserve"> on progress with implementation of ESAP, Stakeholder Engagement Plan (SEP), grievance mechanism and EHSS performance, using the EBRD’s standard reporting template (and updating the ‘Status’ column of the ESAP for each action item.  </w:t>
            </w:r>
          </w:p>
        </w:tc>
        <w:tc>
          <w:tcPr>
            <w:tcW w:w="1715" w:type="dxa"/>
          </w:tcPr>
          <w:p w14:paraId="591A7BDF" w14:textId="77777777" w:rsidR="00533CA1" w:rsidRPr="008D56F2" w:rsidRDefault="00533CA1" w:rsidP="00E96E6C">
            <w:pPr>
              <w:jc w:val="left"/>
              <w:rPr>
                <w:sz w:val="17"/>
                <w:szCs w:val="17"/>
              </w:rPr>
            </w:pPr>
          </w:p>
        </w:tc>
      </w:tr>
      <w:tr w:rsidR="005B2153" w:rsidRPr="00A14FB6" w14:paraId="58C3A9F8" w14:textId="77777777" w:rsidTr="005B2153">
        <w:trPr>
          <w:gridAfter w:val="1"/>
          <w:wAfter w:w="64" w:type="dxa"/>
          <w:trHeight w:val="342"/>
        </w:trPr>
        <w:tc>
          <w:tcPr>
            <w:tcW w:w="467" w:type="dxa"/>
          </w:tcPr>
          <w:p w14:paraId="204368A8" w14:textId="77777777" w:rsidR="0056439B" w:rsidRPr="00CB39E9" w:rsidRDefault="0056439B" w:rsidP="0056439B">
            <w:pPr>
              <w:rPr>
                <w:sz w:val="17"/>
                <w:szCs w:val="17"/>
              </w:rPr>
            </w:pPr>
            <w:r w:rsidRPr="00CB39E9">
              <w:rPr>
                <w:sz w:val="17"/>
                <w:szCs w:val="17"/>
              </w:rPr>
              <w:t>1.2</w:t>
            </w:r>
          </w:p>
        </w:tc>
        <w:tc>
          <w:tcPr>
            <w:tcW w:w="3215" w:type="dxa"/>
          </w:tcPr>
          <w:p w14:paraId="5512A715" w14:textId="77777777" w:rsidR="0056439B" w:rsidRPr="00B53926" w:rsidRDefault="0056439B" w:rsidP="00EF1E87">
            <w:pPr>
              <w:jc w:val="left"/>
              <w:rPr>
                <w:rFonts w:eastAsia="Calibri"/>
                <w:sz w:val="17"/>
                <w:szCs w:val="17"/>
              </w:rPr>
            </w:pPr>
            <w:r w:rsidRPr="00B53926">
              <w:rPr>
                <w:rFonts w:eastAsia="Calibri"/>
                <w:sz w:val="17"/>
                <w:szCs w:val="17"/>
              </w:rPr>
              <w:t>Assign responsibility for environmental, health</w:t>
            </w:r>
            <w:r w:rsidR="00F4388E" w:rsidRPr="00B53926">
              <w:rPr>
                <w:rFonts w:eastAsia="Calibri"/>
                <w:sz w:val="17"/>
                <w:szCs w:val="17"/>
              </w:rPr>
              <w:t xml:space="preserve">, </w:t>
            </w:r>
            <w:r w:rsidRPr="00B53926">
              <w:rPr>
                <w:rFonts w:eastAsia="Calibri"/>
                <w:sz w:val="17"/>
                <w:szCs w:val="17"/>
              </w:rPr>
              <w:t xml:space="preserve">safety </w:t>
            </w:r>
            <w:r w:rsidR="00F4388E" w:rsidRPr="00B53926">
              <w:rPr>
                <w:rFonts w:eastAsia="Calibri"/>
                <w:sz w:val="17"/>
                <w:szCs w:val="17"/>
              </w:rPr>
              <w:t xml:space="preserve">and social </w:t>
            </w:r>
            <w:r w:rsidRPr="00B53926">
              <w:rPr>
                <w:rFonts w:eastAsia="Calibri"/>
                <w:sz w:val="17"/>
                <w:szCs w:val="17"/>
              </w:rPr>
              <w:t>m</w:t>
            </w:r>
            <w:r w:rsidR="00CB39E9" w:rsidRPr="00B53926">
              <w:rPr>
                <w:rFonts w:eastAsia="Calibri"/>
                <w:sz w:val="17"/>
                <w:szCs w:val="17"/>
              </w:rPr>
              <w:t>anagement at Project Implemenation Unit (PI</w:t>
            </w:r>
            <w:r w:rsidRPr="00B53926">
              <w:rPr>
                <w:rFonts w:eastAsia="Calibri"/>
                <w:sz w:val="17"/>
                <w:szCs w:val="17"/>
              </w:rPr>
              <w:t xml:space="preserve">U), to ensure adequate management of EHS aspects during the </w:t>
            </w:r>
            <w:r w:rsidR="00F4388E" w:rsidRPr="00B53926">
              <w:rPr>
                <w:rFonts w:eastAsia="Calibri"/>
                <w:sz w:val="17"/>
                <w:szCs w:val="17"/>
              </w:rPr>
              <w:t>Project</w:t>
            </w:r>
            <w:r w:rsidRPr="00B53926">
              <w:rPr>
                <w:rFonts w:eastAsia="Calibri"/>
                <w:sz w:val="17"/>
                <w:szCs w:val="17"/>
              </w:rPr>
              <w:t xml:space="preserve">. </w:t>
            </w:r>
          </w:p>
        </w:tc>
        <w:tc>
          <w:tcPr>
            <w:tcW w:w="1700" w:type="dxa"/>
          </w:tcPr>
          <w:p w14:paraId="47A0B75B" w14:textId="77777777" w:rsidR="0056439B" w:rsidRPr="008D56F2" w:rsidRDefault="0056439B" w:rsidP="00EF1E87">
            <w:pPr>
              <w:pStyle w:val="BodyText"/>
              <w:suppressAutoHyphens/>
              <w:spacing w:after="0"/>
              <w:rPr>
                <w:rFonts w:eastAsia="Calibri"/>
                <w:color w:val="auto"/>
                <w:sz w:val="17"/>
                <w:szCs w:val="17"/>
              </w:rPr>
            </w:pPr>
            <w:r w:rsidRPr="008D56F2">
              <w:rPr>
                <w:rFonts w:eastAsia="Calibri"/>
                <w:color w:val="auto"/>
                <w:sz w:val="17"/>
                <w:szCs w:val="17"/>
              </w:rPr>
              <w:t>Compliance with national regulations.</w:t>
            </w:r>
          </w:p>
          <w:p w14:paraId="7BA6F905" w14:textId="77777777" w:rsidR="0056439B" w:rsidRPr="008D56F2" w:rsidRDefault="0056439B" w:rsidP="00EF1E87">
            <w:pPr>
              <w:jc w:val="left"/>
              <w:rPr>
                <w:rFonts w:eastAsia="Calibri"/>
                <w:sz w:val="17"/>
                <w:szCs w:val="17"/>
              </w:rPr>
            </w:pPr>
            <w:r w:rsidRPr="008D56F2">
              <w:rPr>
                <w:rFonts w:eastAsia="Calibri"/>
                <w:sz w:val="17"/>
                <w:szCs w:val="17"/>
              </w:rPr>
              <w:t>Improved E&amp;S performance.</w:t>
            </w:r>
          </w:p>
        </w:tc>
        <w:tc>
          <w:tcPr>
            <w:tcW w:w="2268" w:type="dxa"/>
          </w:tcPr>
          <w:p w14:paraId="4FAC2249" w14:textId="77777777" w:rsidR="0056439B" w:rsidRPr="008D56F2" w:rsidRDefault="008D56F2" w:rsidP="00EF1E87">
            <w:pPr>
              <w:pStyle w:val="BodyText"/>
              <w:suppressAutoHyphens/>
              <w:spacing w:after="0"/>
              <w:rPr>
                <w:rFonts w:eastAsia="Calibri"/>
                <w:color w:val="auto"/>
                <w:sz w:val="17"/>
                <w:szCs w:val="17"/>
              </w:rPr>
            </w:pPr>
            <w:r w:rsidRPr="008D56F2">
              <w:rPr>
                <w:rFonts w:eastAsia="Calibri"/>
                <w:color w:val="auto"/>
                <w:sz w:val="17"/>
                <w:szCs w:val="17"/>
              </w:rPr>
              <w:t>EBRD PR</w:t>
            </w:r>
            <w:r w:rsidR="0056439B" w:rsidRPr="008D56F2">
              <w:rPr>
                <w:rFonts w:eastAsia="Calibri"/>
                <w:color w:val="auto"/>
                <w:sz w:val="17"/>
                <w:szCs w:val="17"/>
              </w:rPr>
              <w:t xml:space="preserve">1 </w:t>
            </w:r>
          </w:p>
          <w:p w14:paraId="19AC32E6" w14:textId="77777777" w:rsidR="0056439B" w:rsidRPr="008D56F2" w:rsidRDefault="0056439B" w:rsidP="00EF1E87">
            <w:pPr>
              <w:jc w:val="left"/>
              <w:rPr>
                <w:rFonts w:eastAsia="Calibri"/>
                <w:sz w:val="17"/>
                <w:szCs w:val="17"/>
              </w:rPr>
            </w:pPr>
            <w:r w:rsidRPr="008D56F2">
              <w:rPr>
                <w:rFonts w:eastAsia="Calibri"/>
                <w:sz w:val="17"/>
                <w:szCs w:val="17"/>
              </w:rPr>
              <w:t>Best practice</w:t>
            </w:r>
          </w:p>
        </w:tc>
        <w:tc>
          <w:tcPr>
            <w:tcW w:w="1984" w:type="dxa"/>
          </w:tcPr>
          <w:p w14:paraId="7E295600" w14:textId="77777777" w:rsidR="0056439B" w:rsidRPr="008D56F2" w:rsidRDefault="00CB39E9" w:rsidP="00EF1E87">
            <w:pPr>
              <w:pStyle w:val="BodyText"/>
              <w:suppressAutoHyphens/>
              <w:spacing w:after="0"/>
              <w:rPr>
                <w:rFonts w:eastAsia="Calibri"/>
                <w:color w:val="auto"/>
                <w:sz w:val="17"/>
                <w:szCs w:val="17"/>
              </w:rPr>
            </w:pPr>
            <w:r w:rsidRPr="008D56F2">
              <w:rPr>
                <w:rFonts w:eastAsia="Calibri"/>
                <w:color w:val="auto"/>
                <w:sz w:val="17"/>
                <w:szCs w:val="17"/>
              </w:rPr>
              <w:t>PIU</w:t>
            </w:r>
            <w:r w:rsidR="0056439B" w:rsidRPr="008D56F2">
              <w:rPr>
                <w:rFonts w:eastAsia="Calibri"/>
                <w:color w:val="auto"/>
                <w:sz w:val="17"/>
                <w:szCs w:val="17"/>
              </w:rPr>
              <w:t xml:space="preserve"> internal resources</w:t>
            </w:r>
          </w:p>
          <w:p w14:paraId="12D543E6" w14:textId="77777777" w:rsidR="0056439B" w:rsidRPr="008D56F2" w:rsidRDefault="0056439B" w:rsidP="00EF1E87">
            <w:pPr>
              <w:jc w:val="left"/>
              <w:rPr>
                <w:rFonts w:eastAsia="Calibri"/>
                <w:sz w:val="17"/>
                <w:szCs w:val="17"/>
              </w:rPr>
            </w:pPr>
          </w:p>
        </w:tc>
        <w:tc>
          <w:tcPr>
            <w:tcW w:w="1560" w:type="dxa"/>
          </w:tcPr>
          <w:p w14:paraId="1A9A98D0" w14:textId="77777777" w:rsidR="0056439B" w:rsidRPr="008D56F2" w:rsidRDefault="0056439B" w:rsidP="00EF1E87">
            <w:pPr>
              <w:pStyle w:val="BodyText"/>
              <w:suppressAutoHyphens/>
              <w:spacing w:after="0"/>
              <w:rPr>
                <w:rFonts w:eastAsia="Calibri"/>
                <w:color w:val="auto"/>
                <w:sz w:val="17"/>
                <w:szCs w:val="17"/>
              </w:rPr>
            </w:pPr>
            <w:r w:rsidRPr="008D56F2">
              <w:rPr>
                <w:rFonts w:eastAsia="Calibri"/>
                <w:color w:val="auto"/>
                <w:sz w:val="17"/>
                <w:szCs w:val="17"/>
              </w:rPr>
              <w:t>September 2019</w:t>
            </w:r>
          </w:p>
          <w:p w14:paraId="37E51744" w14:textId="77777777" w:rsidR="0056439B" w:rsidRPr="008D56F2" w:rsidRDefault="0056439B" w:rsidP="00EF1E87">
            <w:pPr>
              <w:jc w:val="left"/>
              <w:rPr>
                <w:rFonts w:eastAsia="Calibri"/>
                <w:sz w:val="17"/>
                <w:szCs w:val="17"/>
              </w:rPr>
            </w:pPr>
          </w:p>
        </w:tc>
        <w:tc>
          <w:tcPr>
            <w:tcW w:w="1882" w:type="dxa"/>
          </w:tcPr>
          <w:p w14:paraId="6ABA4BEA" w14:textId="77777777" w:rsidR="0056439B" w:rsidRPr="008D56F2" w:rsidRDefault="00CB39E9" w:rsidP="00EF1E87">
            <w:pPr>
              <w:pStyle w:val="BodyText"/>
              <w:suppressAutoHyphens/>
              <w:spacing w:after="0"/>
              <w:rPr>
                <w:rFonts w:eastAsia="Calibri"/>
                <w:color w:val="auto"/>
                <w:sz w:val="17"/>
                <w:szCs w:val="17"/>
              </w:rPr>
            </w:pPr>
            <w:r w:rsidRPr="008D56F2">
              <w:rPr>
                <w:rFonts w:eastAsia="Calibri"/>
                <w:color w:val="auto"/>
                <w:sz w:val="17"/>
                <w:szCs w:val="17"/>
              </w:rPr>
              <w:t>PI</w:t>
            </w:r>
            <w:r w:rsidR="0056439B" w:rsidRPr="008D56F2">
              <w:rPr>
                <w:rFonts w:eastAsia="Calibri"/>
                <w:color w:val="auto"/>
                <w:sz w:val="17"/>
                <w:szCs w:val="17"/>
              </w:rPr>
              <w:t xml:space="preserve">U Organisation chart showing line of responsibility. </w:t>
            </w:r>
          </w:p>
          <w:p w14:paraId="07FF4367" w14:textId="77777777" w:rsidR="0056439B" w:rsidRPr="008D56F2" w:rsidRDefault="0056439B" w:rsidP="00EF1E87">
            <w:pPr>
              <w:jc w:val="left"/>
              <w:rPr>
                <w:rFonts w:eastAsia="Calibri"/>
                <w:sz w:val="17"/>
                <w:szCs w:val="17"/>
              </w:rPr>
            </w:pPr>
            <w:r w:rsidRPr="008D56F2">
              <w:rPr>
                <w:rFonts w:eastAsia="Calibri"/>
                <w:sz w:val="17"/>
                <w:szCs w:val="17"/>
              </w:rPr>
              <w:t>Job description for appointed EHS Manager.</w:t>
            </w:r>
          </w:p>
        </w:tc>
        <w:tc>
          <w:tcPr>
            <w:tcW w:w="1715" w:type="dxa"/>
          </w:tcPr>
          <w:p w14:paraId="66C96F67" w14:textId="77777777" w:rsidR="0056439B" w:rsidRPr="008D56F2" w:rsidRDefault="0056439B" w:rsidP="0056439B">
            <w:pPr>
              <w:jc w:val="left"/>
              <w:rPr>
                <w:sz w:val="17"/>
                <w:szCs w:val="17"/>
                <w:highlight w:val="yellow"/>
              </w:rPr>
            </w:pPr>
            <w:r w:rsidRPr="008D56F2">
              <w:rPr>
                <w:sz w:val="17"/>
                <w:szCs w:val="17"/>
              </w:rPr>
              <w:t xml:space="preserve"> </w:t>
            </w:r>
          </w:p>
        </w:tc>
      </w:tr>
      <w:tr w:rsidR="005B2153" w:rsidRPr="00A14FB6" w14:paraId="7EF4520E" w14:textId="77777777" w:rsidTr="005B2153">
        <w:trPr>
          <w:gridAfter w:val="1"/>
          <w:wAfter w:w="64" w:type="dxa"/>
          <w:trHeight w:val="342"/>
        </w:trPr>
        <w:tc>
          <w:tcPr>
            <w:tcW w:w="467" w:type="dxa"/>
          </w:tcPr>
          <w:p w14:paraId="655C69FB" w14:textId="77777777" w:rsidR="0056439B" w:rsidRPr="00CB39E9" w:rsidRDefault="0056439B" w:rsidP="0056439B">
            <w:pPr>
              <w:rPr>
                <w:sz w:val="17"/>
                <w:szCs w:val="17"/>
              </w:rPr>
            </w:pPr>
            <w:r w:rsidRPr="00CB39E9">
              <w:rPr>
                <w:sz w:val="17"/>
                <w:szCs w:val="17"/>
              </w:rPr>
              <w:t>1.3</w:t>
            </w:r>
          </w:p>
        </w:tc>
        <w:tc>
          <w:tcPr>
            <w:tcW w:w="3215" w:type="dxa"/>
          </w:tcPr>
          <w:p w14:paraId="255AA8B0" w14:textId="77777777" w:rsidR="0056439B" w:rsidRPr="00B53926" w:rsidRDefault="0056439B" w:rsidP="00EF1E87">
            <w:pPr>
              <w:jc w:val="left"/>
              <w:rPr>
                <w:rFonts w:eastAsia="Calibri"/>
                <w:sz w:val="17"/>
                <w:szCs w:val="17"/>
              </w:rPr>
            </w:pPr>
            <w:r w:rsidRPr="00B53926">
              <w:rPr>
                <w:rFonts w:eastAsia="Calibri"/>
                <w:sz w:val="17"/>
                <w:szCs w:val="17"/>
              </w:rPr>
              <w:t xml:space="preserve">Develop and implement an </w:t>
            </w:r>
            <w:r w:rsidR="00A50E31" w:rsidRPr="00B53926">
              <w:rPr>
                <w:rFonts w:eastAsia="Calibri"/>
                <w:sz w:val="17"/>
                <w:szCs w:val="17"/>
              </w:rPr>
              <w:t>integrated Environmental, Health, Safety and Social</w:t>
            </w:r>
            <w:r w:rsidR="00EF1E87" w:rsidRPr="00B53926">
              <w:rPr>
                <w:rFonts w:eastAsia="Calibri"/>
                <w:sz w:val="17"/>
                <w:szCs w:val="17"/>
              </w:rPr>
              <w:t xml:space="preserve"> (EHSS)</w:t>
            </w:r>
            <w:r w:rsidR="00A50E31" w:rsidRPr="00B53926">
              <w:rPr>
                <w:rFonts w:eastAsia="Calibri"/>
                <w:sz w:val="17"/>
                <w:szCs w:val="17"/>
              </w:rPr>
              <w:t xml:space="preserve"> </w:t>
            </w:r>
            <w:r w:rsidRPr="00B53926">
              <w:rPr>
                <w:rFonts w:eastAsia="Calibri"/>
                <w:sz w:val="17"/>
                <w:szCs w:val="17"/>
              </w:rPr>
              <w:t>Management System on corporate level at Toplana-Šabac</w:t>
            </w:r>
            <w:r w:rsidR="00F4388E" w:rsidRPr="00B53926">
              <w:rPr>
                <w:rFonts w:eastAsia="Calibri"/>
                <w:sz w:val="17"/>
                <w:szCs w:val="17"/>
              </w:rPr>
              <w:t xml:space="preserve"> aligned to ISO 14001</w:t>
            </w:r>
            <w:r w:rsidR="00CB39E9" w:rsidRPr="00B53926">
              <w:rPr>
                <w:rFonts w:eastAsia="Calibri"/>
                <w:sz w:val="17"/>
                <w:szCs w:val="17"/>
              </w:rPr>
              <w:t xml:space="preserve"> and ISO 45001 (formaliy OHSAS 18001)</w:t>
            </w:r>
            <w:r w:rsidRPr="00B53926">
              <w:rPr>
                <w:rFonts w:eastAsia="Calibri"/>
                <w:sz w:val="17"/>
                <w:szCs w:val="17"/>
              </w:rPr>
              <w:t>. The system will include:</w:t>
            </w:r>
          </w:p>
          <w:p w14:paraId="22062DFF" w14:textId="77777777" w:rsidR="0056439B" w:rsidRPr="00B53926" w:rsidRDefault="00546F57" w:rsidP="00EF1E87">
            <w:pPr>
              <w:pStyle w:val="ListBullet"/>
              <w:numPr>
                <w:ilvl w:val="0"/>
                <w:numId w:val="19"/>
              </w:numPr>
              <w:spacing w:after="0"/>
              <w:rPr>
                <w:rFonts w:eastAsia="Calibri"/>
                <w:color w:val="auto"/>
                <w:sz w:val="17"/>
                <w:szCs w:val="17"/>
              </w:rPr>
            </w:pPr>
            <w:r w:rsidRPr="00B53926">
              <w:rPr>
                <w:rFonts w:eastAsia="Calibri"/>
                <w:color w:val="auto"/>
                <w:sz w:val="17"/>
                <w:szCs w:val="17"/>
              </w:rPr>
              <w:t xml:space="preserve">EHS </w:t>
            </w:r>
            <w:r w:rsidR="0056439B" w:rsidRPr="00B53926">
              <w:rPr>
                <w:rFonts w:eastAsia="Calibri"/>
                <w:color w:val="auto"/>
                <w:sz w:val="17"/>
                <w:szCs w:val="17"/>
              </w:rPr>
              <w:t>Policy;</w:t>
            </w:r>
          </w:p>
          <w:p w14:paraId="621F631B" w14:textId="77777777" w:rsidR="0056439B" w:rsidRPr="00B53926" w:rsidRDefault="00EF1E87" w:rsidP="00EF1E87">
            <w:pPr>
              <w:pStyle w:val="ListBullet"/>
              <w:numPr>
                <w:ilvl w:val="0"/>
                <w:numId w:val="19"/>
              </w:numPr>
              <w:spacing w:after="0"/>
              <w:rPr>
                <w:rFonts w:eastAsia="Calibri"/>
                <w:color w:val="auto"/>
                <w:sz w:val="17"/>
                <w:szCs w:val="17"/>
              </w:rPr>
            </w:pPr>
            <w:r w:rsidRPr="00B53926">
              <w:rPr>
                <w:rFonts w:eastAsia="Calibri"/>
                <w:color w:val="auto"/>
                <w:sz w:val="17"/>
                <w:szCs w:val="17"/>
              </w:rPr>
              <w:t xml:space="preserve">EHS </w:t>
            </w:r>
            <w:r w:rsidR="0056439B" w:rsidRPr="00B53926">
              <w:rPr>
                <w:rFonts w:eastAsia="Calibri"/>
                <w:color w:val="auto"/>
                <w:sz w:val="17"/>
                <w:szCs w:val="17"/>
              </w:rPr>
              <w:t>Objectives, targets</w:t>
            </w:r>
          </w:p>
          <w:p w14:paraId="6929E9FC" w14:textId="77777777" w:rsidR="0056439B" w:rsidRPr="00B53926" w:rsidRDefault="0056439B" w:rsidP="00EF1E87">
            <w:pPr>
              <w:pStyle w:val="ListBullet"/>
              <w:numPr>
                <w:ilvl w:val="0"/>
                <w:numId w:val="19"/>
              </w:numPr>
              <w:spacing w:after="0"/>
              <w:rPr>
                <w:rFonts w:eastAsia="Calibri"/>
                <w:color w:val="auto"/>
                <w:sz w:val="17"/>
                <w:szCs w:val="17"/>
              </w:rPr>
            </w:pPr>
            <w:r w:rsidRPr="00B53926">
              <w:rPr>
                <w:rFonts w:eastAsia="Calibri"/>
                <w:color w:val="auto"/>
                <w:sz w:val="17"/>
                <w:szCs w:val="17"/>
              </w:rPr>
              <w:t>Identification of legal and other requirements;</w:t>
            </w:r>
          </w:p>
          <w:p w14:paraId="080246F6" w14:textId="77777777" w:rsidR="0056439B" w:rsidRPr="00B53926" w:rsidRDefault="0056439B" w:rsidP="00EF1E87">
            <w:pPr>
              <w:pStyle w:val="ListBullet"/>
              <w:numPr>
                <w:ilvl w:val="0"/>
                <w:numId w:val="19"/>
              </w:numPr>
              <w:spacing w:after="0"/>
              <w:rPr>
                <w:rFonts w:eastAsia="Calibri"/>
                <w:color w:val="auto"/>
                <w:sz w:val="17"/>
                <w:szCs w:val="17"/>
              </w:rPr>
            </w:pPr>
            <w:r w:rsidRPr="00B53926">
              <w:rPr>
                <w:rFonts w:eastAsia="Calibri"/>
                <w:color w:val="auto"/>
                <w:sz w:val="17"/>
                <w:szCs w:val="17"/>
              </w:rPr>
              <w:t>Register of environmental aspects and impacts</w:t>
            </w:r>
          </w:p>
          <w:p w14:paraId="5A68F9BF" w14:textId="77777777" w:rsidR="0056439B" w:rsidRPr="00B53926" w:rsidRDefault="00EF1E87" w:rsidP="00EF1E87">
            <w:pPr>
              <w:pStyle w:val="ListBullet"/>
              <w:numPr>
                <w:ilvl w:val="0"/>
                <w:numId w:val="19"/>
              </w:numPr>
              <w:spacing w:after="0"/>
              <w:rPr>
                <w:rFonts w:eastAsia="Calibri"/>
                <w:color w:val="auto"/>
                <w:sz w:val="17"/>
                <w:szCs w:val="17"/>
              </w:rPr>
            </w:pPr>
            <w:r w:rsidRPr="00B53926">
              <w:rPr>
                <w:rFonts w:eastAsia="Calibri"/>
                <w:color w:val="auto"/>
                <w:sz w:val="17"/>
                <w:szCs w:val="17"/>
              </w:rPr>
              <w:t xml:space="preserve">EHS </w:t>
            </w:r>
            <w:r w:rsidR="0056439B" w:rsidRPr="00B53926">
              <w:rPr>
                <w:rFonts w:eastAsia="Calibri"/>
                <w:color w:val="auto"/>
                <w:sz w:val="17"/>
                <w:szCs w:val="17"/>
              </w:rPr>
              <w:t>Procedures and operational controls to minimise impacts;</w:t>
            </w:r>
          </w:p>
          <w:p w14:paraId="0841FEF0" w14:textId="77777777" w:rsidR="00EF1E87" w:rsidRPr="00B53926" w:rsidRDefault="00EF1E87" w:rsidP="00EF1E87">
            <w:pPr>
              <w:pStyle w:val="ListBullet"/>
              <w:numPr>
                <w:ilvl w:val="0"/>
                <w:numId w:val="19"/>
              </w:numPr>
              <w:spacing w:after="0"/>
              <w:rPr>
                <w:rFonts w:eastAsia="Calibri"/>
                <w:color w:val="auto"/>
                <w:sz w:val="17"/>
                <w:szCs w:val="17"/>
              </w:rPr>
            </w:pPr>
            <w:r w:rsidRPr="00B53926">
              <w:rPr>
                <w:rFonts w:eastAsia="Calibri"/>
                <w:color w:val="auto"/>
                <w:sz w:val="17"/>
                <w:szCs w:val="17"/>
              </w:rPr>
              <w:t>H&amp;S risk assessment for work places</w:t>
            </w:r>
          </w:p>
          <w:p w14:paraId="66DDFBE7" w14:textId="77777777" w:rsidR="0056439B" w:rsidRPr="00B53926" w:rsidRDefault="00EF1E87" w:rsidP="00EF1E87">
            <w:pPr>
              <w:pStyle w:val="ListBullet"/>
              <w:numPr>
                <w:ilvl w:val="0"/>
                <w:numId w:val="19"/>
              </w:numPr>
              <w:spacing w:after="0"/>
              <w:rPr>
                <w:rFonts w:eastAsia="Calibri"/>
                <w:color w:val="auto"/>
                <w:sz w:val="17"/>
                <w:szCs w:val="17"/>
              </w:rPr>
            </w:pPr>
            <w:r w:rsidRPr="00B53926">
              <w:rPr>
                <w:rFonts w:eastAsia="Calibri"/>
                <w:color w:val="auto"/>
                <w:sz w:val="17"/>
                <w:szCs w:val="17"/>
              </w:rPr>
              <w:lastRenderedPageBreak/>
              <w:t xml:space="preserve">EHS </w:t>
            </w:r>
            <w:r w:rsidR="0056439B" w:rsidRPr="00B53926">
              <w:rPr>
                <w:rFonts w:eastAsia="Calibri"/>
                <w:color w:val="auto"/>
                <w:sz w:val="17"/>
                <w:szCs w:val="17"/>
              </w:rPr>
              <w:t xml:space="preserve">Training and communication </w:t>
            </w:r>
          </w:p>
          <w:p w14:paraId="6D15A807" w14:textId="77777777" w:rsidR="0056439B" w:rsidRPr="00B53926" w:rsidRDefault="0056439B" w:rsidP="00EF1E87">
            <w:pPr>
              <w:pStyle w:val="ListBullet"/>
              <w:numPr>
                <w:ilvl w:val="0"/>
                <w:numId w:val="19"/>
              </w:numPr>
              <w:spacing w:after="0"/>
              <w:rPr>
                <w:rFonts w:eastAsia="Calibri"/>
                <w:color w:val="auto"/>
                <w:sz w:val="17"/>
                <w:szCs w:val="17"/>
              </w:rPr>
            </w:pPr>
            <w:r w:rsidRPr="00B53926">
              <w:rPr>
                <w:rFonts w:eastAsia="Calibri"/>
                <w:color w:val="auto"/>
                <w:sz w:val="17"/>
                <w:szCs w:val="17"/>
              </w:rPr>
              <w:t xml:space="preserve">Monitoring of </w:t>
            </w:r>
            <w:r w:rsidR="00EF1E87" w:rsidRPr="00B53926">
              <w:rPr>
                <w:rFonts w:eastAsia="Calibri"/>
                <w:color w:val="auto"/>
                <w:sz w:val="17"/>
                <w:szCs w:val="17"/>
              </w:rPr>
              <w:t xml:space="preserve">EHS </w:t>
            </w:r>
            <w:r w:rsidRPr="00B53926">
              <w:rPr>
                <w:rFonts w:eastAsia="Calibri"/>
                <w:color w:val="auto"/>
                <w:sz w:val="17"/>
                <w:szCs w:val="17"/>
              </w:rPr>
              <w:t>performance;</w:t>
            </w:r>
          </w:p>
          <w:p w14:paraId="72DC0FF2" w14:textId="77777777" w:rsidR="0056439B" w:rsidRPr="00B53926" w:rsidRDefault="0056439B" w:rsidP="00EF1E87">
            <w:pPr>
              <w:pStyle w:val="ListBullet"/>
              <w:numPr>
                <w:ilvl w:val="0"/>
                <w:numId w:val="19"/>
              </w:numPr>
              <w:spacing w:after="0"/>
              <w:rPr>
                <w:rFonts w:eastAsia="Calibri"/>
                <w:color w:val="auto"/>
                <w:sz w:val="17"/>
                <w:szCs w:val="17"/>
              </w:rPr>
            </w:pPr>
            <w:r w:rsidRPr="00B53926">
              <w:rPr>
                <w:rFonts w:eastAsia="Calibri"/>
                <w:color w:val="auto"/>
                <w:sz w:val="17"/>
                <w:szCs w:val="17"/>
              </w:rPr>
              <w:t xml:space="preserve">Internal </w:t>
            </w:r>
            <w:r w:rsidR="00EF1E87" w:rsidRPr="00B53926">
              <w:rPr>
                <w:rFonts w:eastAsia="Calibri"/>
                <w:color w:val="auto"/>
                <w:sz w:val="17"/>
                <w:szCs w:val="17"/>
              </w:rPr>
              <w:t xml:space="preserve">EHS </w:t>
            </w:r>
            <w:r w:rsidRPr="00B53926">
              <w:rPr>
                <w:rFonts w:eastAsia="Calibri"/>
                <w:color w:val="auto"/>
                <w:sz w:val="17"/>
                <w:szCs w:val="17"/>
              </w:rPr>
              <w:t>reviews and audits (inc. inspection on waste management practices)</w:t>
            </w:r>
            <w:r w:rsidR="00EF1E87" w:rsidRPr="00B53926">
              <w:rPr>
                <w:rFonts w:eastAsia="Calibri"/>
                <w:color w:val="auto"/>
                <w:sz w:val="17"/>
                <w:szCs w:val="17"/>
              </w:rPr>
              <w:t xml:space="preserve"> – all documented</w:t>
            </w:r>
            <w:r w:rsidRPr="00B53926">
              <w:rPr>
                <w:rFonts w:eastAsia="Calibri"/>
                <w:color w:val="auto"/>
                <w:sz w:val="17"/>
                <w:szCs w:val="17"/>
              </w:rPr>
              <w:t>;</w:t>
            </w:r>
          </w:p>
          <w:p w14:paraId="7F5CBD68" w14:textId="77777777" w:rsidR="0056439B" w:rsidRPr="00B53926" w:rsidRDefault="0056439B" w:rsidP="00EF1E87">
            <w:pPr>
              <w:pStyle w:val="ListBullet"/>
              <w:numPr>
                <w:ilvl w:val="0"/>
                <w:numId w:val="19"/>
              </w:numPr>
              <w:spacing w:after="0"/>
              <w:rPr>
                <w:rFonts w:eastAsia="Calibri"/>
                <w:color w:val="auto"/>
                <w:sz w:val="17"/>
                <w:szCs w:val="17"/>
              </w:rPr>
            </w:pPr>
            <w:r w:rsidRPr="00B53926">
              <w:rPr>
                <w:rFonts w:eastAsia="Calibri"/>
                <w:color w:val="auto"/>
                <w:sz w:val="17"/>
                <w:szCs w:val="17"/>
              </w:rPr>
              <w:t xml:space="preserve">Management reviews. </w:t>
            </w:r>
          </w:p>
          <w:p w14:paraId="23DB40C9" w14:textId="77777777" w:rsidR="0056439B" w:rsidRPr="00B53926" w:rsidRDefault="0056439B" w:rsidP="00EF1E87">
            <w:pPr>
              <w:jc w:val="left"/>
              <w:rPr>
                <w:rFonts w:eastAsia="Calibri"/>
                <w:sz w:val="17"/>
                <w:szCs w:val="17"/>
              </w:rPr>
            </w:pPr>
            <w:r w:rsidRPr="00B53926">
              <w:rPr>
                <w:rFonts w:eastAsia="Calibri"/>
                <w:sz w:val="17"/>
                <w:szCs w:val="17"/>
              </w:rPr>
              <w:t>The E&amp;S management system will be applicable and relevant to the District Heating Company activities and those undertaken by its contractors on their behalf.</w:t>
            </w:r>
          </w:p>
        </w:tc>
        <w:tc>
          <w:tcPr>
            <w:tcW w:w="1700" w:type="dxa"/>
          </w:tcPr>
          <w:p w14:paraId="2D511831" w14:textId="77777777" w:rsidR="00EF1E87" w:rsidRPr="008D56F2" w:rsidRDefault="0056439B" w:rsidP="00EF1E87">
            <w:pPr>
              <w:jc w:val="left"/>
              <w:rPr>
                <w:rFonts w:eastAsia="Calibri"/>
                <w:sz w:val="17"/>
                <w:szCs w:val="17"/>
              </w:rPr>
            </w:pPr>
            <w:r w:rsidRPr="008D56F2">
              <w:rPr>
                <w:rFonts w:eastAsia="Calibri"/>
                <w:sz w:val="17"/>
                <w:szCs w:val="17"/>
              </w:rPr>
              <w:lastRenderedPageBreak/>
              <w:t xml:space="preserve">Optimisation of </w:t>
            </w:r>
            <w:r w:rsidR="00EF1E87" w:rsidRPr="008D56F2">
              <w:rPr>
                <w:rFonts w:eastAsia="Calibri"/>
                <w:sz w:val="17"/>
                <w:szCs w:val="17"/>
              </w:rPr>
              <w:t>EHSS</w:t>
            </w:r>
            <w:r w:rsidRPr="008D56F2">
              <w:rPr>
                <w:rFonts w:eastAsia="Calibri"/>
                <w:sz w:val="17"/>
                <w:szCs w:val="17"/>
              </w:rPr>
              <w:t xml:space="preserve"> management though a formalised system.</w:t>
            </w:r>
          </w:p>
          <w:p w14:paraId="1B19D9FB" w14:textId="77777777" w:rsidR="00EF1E87" w:rsidRPr="008D56F2" w:rsidRDefault="00EF1E87" w:rsidP="00EF1E87">
            <w:pPr>
              <w:jc w:val="left"/>
              <w:rPr>
                <w:sz w:val="17"/>
                <w:szCs w:val="17"/>
              </w:rPr>
            </w:pPr>
            <w:r w:rsidRPr="008D56F2">
              <w:rPr>
                <w:sz w:val="17"/>
                <w:szCs w:val="17"/>
              </w:rPr>
              <w:t>Minimisation of EHS accidents and incidents to ensure a safe working environment .</w:t>
            </w:r>
          </w:p>
          <w:p w14:paraId="49CC4547" w14:textId="77777777" w:rsidR="0056439B" w:rsidRPr="008D56F2" w:rsidRDefault="00EF1E87" w:rsidP="00EF1E87">
            <w:pPr>
              <w:jc w:val="left"/>
              <w:rPr>
                <w:rFonts w:eastAsia="Calibri"/>
                <w:sz w:val="17"/>
                <w:szCs w:val="17"/>
              </w:rPr>
            </w:pPr>
            <w:r w:rsidRPr="008D56F2">
              <w:rPr>
                <w:sz w:val="17"/>
                <w:szCs w:val="17"/>
              </w:rPr>
              <w:t xml:space="preserve">Promote the health of workers and safe use of equipment. Improved and continual improvement of EHS </w:t>
            </w:r>
            <w:r w:rsidRPr="008D56F2">
              <w:rPr>
                <w:sz w:val="17"/>
                <w:szCs w:val="17"/>
              </w:rPr>
              <w:lastRenderedPageBreak/>
              <w:t xml:space="preserve">performance </w:t>
            </w:r>
            <w:r w:rsidR="0056439B" w:rsidRPr="008D56F2">
              <w:rPr>
                <w:rFonts w:eastAsia="Calibri"/>
                <w:sz w:val="17"/>
                <w:szCs w:val="17"/>
              </w:rPr>
              <w:t xml:space="preserve">  </w:t>
            </w:r>
          </w:p>
        </w:tc>
        <w:tc>
          <w:tcPr>
            <w:tcW w:w="2268" w:type="dxa"/>
          </w:tcPr>
          <w:p w14:paraId="3C8A9F7E" w14:textId="77777777" w:rsidR="00EF1E87" w:rsidRPr="00392F88" w:rsidRDefault="0056439B" w:rsidP="00EF1E87">
            <w:pPr>
              <w:pStyle w:val="BodyText"/>
              <w:suppressAutoHyphens/>
              <w:spacing w:after="0"/>
              <w:rPr>
                <w:rFonts w:eastAsia="Calibri"/>
                <w:color w:val="auto"/>
                <w:sz w:val="17"/>
                <w:szCs w:val="17"/>
                <w:lang w:val="fr-FR"/>
              </w:rPr>
            </w:pPr>
            <w:r w:rsidRPr="00392F88">
              <w:rPr>
                <w:rFonts w:eastAsia="Calibri"/>
                <w:color w:val="auto"/>
                <w:sz w:val="17"/>
                <w:szCs w:val="17"/>
                <w:lang w:val="fr-FR"/>
              </w:rPr>
              <w:lastRenderedPageBreak/>
              <w:t>EBRD PR1</w:t>
            </w:r>
            <w:r w:rsidR="00546F57" w:rsidRPr="00392F88">
              <w:rPr>
                <w:rFonts w:eastAsia="Calibri"/>
                <w:color w:val="auto"/>
                <w:sz w:val="17"/>
                <w:szCs w:val="17"/>
                <w:lang w:val="fr-FR"/>
              </w:rPr>
              <w:t>,</w:t>
            </w:r>
            <w:r w:rsidR="00EF1E87" w:rsidRPr="00392F88">
              <w:rPr>
                <w:rFonts w:eastAsia="Calibri"/>
                <w:color w:val="auto"/>
                <w:sz w:val="17"/>
                <w:szCs w:val="17"/>
                <w:lang w:val="fr-FR"/>
              </w:rPr>
              <w:t xml:space="preserve"> </w:t>
            </w:r>
            <w:r w:rsidR="008D56F2" w:rsidRPr="00392F88">
              <w:rPr>
                <w:rFonts w:eastAsia="Calibri"/>
                <w:color w:val="auto"/>
                <w:sz w:val="17"/>
                <w:szCs w:val="17"/>
                <w:lang w:val="fr-FR"/>
              </w:rPr>
              <w:t>PR</w:t>
            </w:r>
            <w:r w:rsidR="00EF1E87" w:rsidRPr="00392F88">
              <w:rPr>
                <w:rFonts w:eastAsia="Calibri"/>
                <w:color w:val="auto"/>
                <w:sz w:val="17"/>
                <w:szCs w:val="17"/>
                <w:lang w:val="fr-FR"/>
              </w:rPr>
              <w:t>2,</w:t>
            </w:r>
            <w:r w:rsidR="00546F57" w:rsidRPr="00392F88">
              <w:rPr>
                <w:rFonts w:eastAsia="Calibri"/>
                <w:color w:val="auto"/>
                <w:sz w:val="17"/>
                <w:szCs w:val="17"/>
                <w:lang w:val="fr-FR"/>
              </w:rPr>
              <w:t xml:space="preserve"> </w:t>
            </w:r>
            <w:r w:rsidR="008D56F2" w:rsidRPr="00392F88">
              <w:rPr>
                <w:rFonts w:eastAsia="Calibri"/>
                <w:color w:val="auto"/>
                <w:sz w:val="17"/>
                <w:szCs w:val="17"/>
                <w:lang w:val="fr-FR"/>
              </w:rPr>
              <w:t>PR3 and PR</w:t>
            </w:r>
            <w:r w:rsidR="00546F57" w:rsidRPr="00392F88">
              <w:rPr>
                <w:rFonts w:eastAsia="Calibri"/>
                <w:color w:val="auto"/>
                <w:sz w:val="17"/>
                <w:szCs w:val="17"/>
                <w:lang w:val="fr-FR"/>
              </w:rPr>
              <w:t>4</w:t>
            </w:r>
          </w:p>
          <w:p w14:paraId="2D15716D" w14:textId="77777777" w:rsidR="00EF1E87" w:rsidRPr="008D56F2" w:rsidRDefault="00EF1E87" w:rsidP="00EF1E87">
            <w:pPr>
              <w:pStyle w:val="BodyText"/>
              <w:suppressAutoHyphens/>
              <w:spacing w:after="0"/>
              <w:rPr>
                <w:rFonts w:eastAsia="Calibri"/>
                <w:color w:val="auto"/>
                <w:sz w:val="17"/>
                <w:szCs w:val="17"/>
              </w:rPr>
            </w:pPr>
            <w:r w:rsidRPr="008D56F2">
              <w:rPr>
                <w:rFonts w:eastAsia="Calibri"/>
                <w:color w:val="auto"/>
                <w:sz w:val="17"/>
                <w:szCs w:val="17"/>
              </w:rPr>
              <w:t>ISO 14001</w:t>
            </w:r>
          </w:p>
          <w:p w14:paraId="2AAD3578" w14:textId="77777777" w:rsidR="00EF1E87" w:rsidRPr="008D56F2" w:rsidRDefault="00EF1E87" w:rsidP="00EF1E87">
            <w:pPr>
              <w:pStyle w:val="BodyText"/>
              <w:suppressAutoHyphens/>
              <w:spacing w:after="0"/>
              <w:rPr>
                <w:rFonts w:eastAsia="Calibri"/>
                <w:color w:val="auto"/>
                <w:sz w:val="17"/>
                <w:szCs w:val="17"/>
              </w:rPr>
            </w:pPr>
            <w:r w:rsidRPr="008D56F2">
              <w:rPr>
                <w:rFonts w:eastAsia="Calibri"/>
                <w:color w:val="auto"/>
                <w:sz w:val="17"/>
                <w:szCs w:val="17"/>
              </w:rPr>
              <w:t xml:space="preserve">ISO 45001 </w:t>
            </w:r>
          </w:p>
          <w:p w14:paraId="51E91263" w14:textId="77777777" w:rsidR="0056439B" w:rsidRPr="008D56F2" w:rsidRDefault="0056439B" w:rsidP="00EF1E87">
            <w:pPr>
              <w:pStyle w:val="BodyText"/>
              <w:suppressAutoHyphens/>
              <w:spacing w:after="0"/>
              <w:rPr>
                <w:rFonts w:eastAsia="Calibri"/>
                <w:color w:val="auto"/>
                <w:sz w:val="17"/>
                <w:szCs w:val="17"/>
              </w:rPr>
            </w:pPr>
            <w:r w:rsidRPr="008D56F2">
              <w:rPr>
                <w:rFonts w:eastAsia="Calibri"/>
                <w:color w:val="auto"/>
                <w:sz w:val="17"/>
                <w:szCs w:val="17"/>
              </w:rPr>
              <w:t>Voluntary and best practice</w:t>
            </w:r>
          </w:p>
        </w:tc>
        <w:tc>
          <w:tcPr>
            <w:tcW w:w="1984" w:type="dxa"/>
          </w:tcPr>
          <w:p w14:paraId="757338FA" w14:textId="77777777" w:rsidR="0056439B" w:rsidRPr="008D56F2" w:rsidRDefault="0056439B" w:rsidP="00EF1E87">
            <w:pPr>
              <w:jc w:val="left"/>
              <w:rPr>
                <w:rFonts w:eastAsia="Calibri"/>
                <w:sz w:val="17"/>
                <w:szCs w:val="17"/>
              </w:rPr>
            </w:pPr>
            <w:r w:rsidRPr="008D56F2">
              <w:rPr>
                <w:rFonts w:eastAsia="Calibri"/>
                <w:sz w:val="17"/>
                <w:szCs w:val="17"/>
              </w:rPr>
              <w:t xml:space="preserve">Toplana-Šabac District Heating Company internal </w:t>
            </w:r>
            <w:r w:rsidR="00546F57" w:rsidRPr="008D56F2">
              <w:rPr>
                <w:rFonts w:eastAsia="Calibri"/>
                <w:sz w:val="17"/>
                <w:szCs w:val="17"/>
              </w:rPr>
              <w:t xml:space="preserve"> </w:t>
            </w:r>
            <w:r w:rsidRPr="008D56F2">
              <w:rPr>
                <w:rFonts w:eastAsia="Calibri"/>
                <w:sz w:val="17"/>
                <w:szCs w:val="17"/>
              </w:rPr>
              <w:t>resources, external consultants</w:t>
            </w:r>
          </w:p>
        </w:tc>
        <w:tc>
          <w:tcPr>
            <w:tcW w:w="1560" w:type="dxa"/>
          </w:tcPr>
          <w:p w14:paraId="605DC6EE" w14:textId="77777777" w:rsidR="0056439B" w:rsidRPr="008D56F2" w:rsidRDefault="00CB39E9" w:rsidP="00EF1E87">
            <w:pPr>
              <w:jc w:val="left"/>
              <w:rPr>
                <w:rFonts w:eastAsia="Calibri"/>
                <w:sz w:val="17"/>
                <w:szCs w:val="17"/>
              </w:rPr>
            </w:pPr>
            <w:r w:rsidRPr="008D56F2">
              <w:rPr>
                <w:rFonts w:eastAsia="Calibri"/>
                <w:sz w:val="17"/>
                <w:szCs w:val="17"/>
              </w:rPr>
              <w:t>December 2019</w:t>
            </w:r>
          </w:p>
        </w:tc>
        <w:tc>
          <w:tcPr>
            <w:tcW w:w="1882" w:type="dxa"/>
          </w:tcPr>
          <w:p w14:paraId="08A578E6" w14:textId="77777777" w:rsidR="0056439B" w:rsidRPr="008D56F2" w:rsidRDefault="0056439B" w:rsidP="00EF1E87">
            <w:pPr>
              <w:jc w:val="left"/>
              <w:rPr>
                <w:rFonts w:eastAsia="Calibri"/>
                <w:sz w:val="17"/>
                <w:szCs w:val="17"/>
              </w:rPr>
            </w:pPr>
            <w:r w:rsidRPr="008D56F2">
              <w:rPr>
                <w:rFonts w:eastAsia="Calibri"/>
                <w:sz w:val="17"/>
                <w:szCs w:val="17"/>
              </w:rPr>
              <w:t>Develop and implement an E</w:t>
            </w:r>
            <w:r w:rsidR="00EF1E87" w:rsidRPr="008D56F2">
              <w:rPr>
                <w:rFonts w:eastAsia="Calibri"/>
                <w:sz w:val="17"/>
                <w:szCs w:val="17"/>
              </w:rPr>
              <w:t>HSS management system</w:t>
            </w:r>
            <w:r w:rsidRPr="008D56F2">
              <w:rPr>
                <w:rFonts w:eastAsia="Calibri"/>
                <w:sz w:val="17"/>
                <w:szCs w:val="17"/>
              </w:rPr>
              <w:t xml:space="preserve"> in alignment with ISO 14001 and </w:t>
            </w:r>
            <w:r w:rsidR="00A50E31" w:rsidRPr="008D56F2">
              <w:rPr>
                <w:rFonts w:eastAsia="Calibri"/>
                <w:sz w:val="17"/>
                <w:szCs w:val="17"/>
              </w:rPr>
              <w:t xml:space="preserve">ISO 45001. </w:t>
            </w:r>
          </w:p>
          <w:p w14:paraId="4F1BBA43" w14:textId="77777777" w:rsidR="0056439B" w:rsidRPr="008D56F2" w:rsidRDefault="0056439B" w:rsidP="00EF1E87">
            <w:pPr>
              <w:jc w:val="left"/>
              <w:rPr>
                <w:rFonts w:eastAsia="Calibri"/>
                <w:sz w:val="17"/>
                <w:szCs w:val="17"/>
              </w:rPr>
            </w:pPr>
          </w:p>
          <w:p w14:paraId="75C58AB5" w14:textId="77777777" w:rsidR="0056439B" w:rsidRPr="008D56F2" w:rsidRDefault="00A50E31" w:rsidP="00EF1E87">
            <w:pPr>
              <w:jc w:val="left"/>
              <w:rPr>
                <w:rFonts w:eastAsia="Calibri"/>
                <w:sz w:val="17"/>
                <w:szCs w:val="17"/>
              </w:rPr>
            </w:pPr>
            <w:r w:rsidRPr="008D56F2">
              <w:rPr>
                <w:rFonts w:eastAsia="Calibri"/>
                <w:sz w:val="17"/>
                <w:szCs w:val="17"/>
              </w:rPr>
              <w:t xml:space="preserve">Annual Environmental, Health, </w:t>
            </w:r>
            <w:r w:rsidR="0056439B" w:rsidRPr="008D56F2">
              <w:rPr>
                <w:rFonts w:eastAsia="Calibri"/>
                <w:sz w:val="17"/>
                <w:szCs w:val="17"/>
              </w:rPr>
              <w:t>Safety</w:t>
            </w:r>
            <w:r w:rsidRPr="008D56F2">
              <w:rPr>
                <w:rFonts w:eastAsia="Calibri"/>
                <w:sz w:val="17"/>
                <w:szCs w:val="17"/>
              </w:rPr>
              <w:t xml:space="preserve"> and Social</w:t>
            </w:r>
            <w:r w:rsidR="0056439B" w:rsidRPr="008D56F2">
              <w:rPr>
                <w:rFonts w:eastAsia="Calibri"/>
                <w:sz w:val="17"/>
                <w:szCs w:val="17"/>
              </w:rPr>
              <w:t xml:space="preserve"> (EHS</w:t>
            </w:r>
            <w:r w:rsidRPr="008D56F2">
              <w:rPr>
                <w:rFonts w:eastAsia="Calibri"/>
                <w:sz w:val="17"/>
                <w:szCs w:val="17"/>
              </w:rPr>
              <w:t>S</w:t>
            </w:r>
            <w:r w:rsidR="0056439B" w:rsidRPr="008D56F2">
              <w:rPr>
                <w:rFonts w:eastAsia="Calibri"/>
                <w:sz w:val="17"/>
                <w:szCs w:val="17"/>
              </w:rPr>
              <w:t xml:space="preserve">) Report to the Bank on the status of the management system, minutes from management review and findings from </w:t>
            </w:r>
            <w:r w:rsidR="0056439B" w:rsidRPr="008D56F2">
              <w:rPr>
                <w:rFonts w:eastAsia="Calibri"/>
                <w:sz w:val="17"/>
                <w:szCs w:val="17"/>
              </w:rPr>
              <w:lastRenderedPageBreak/>
              <w:t>internal audits.</w:t>
            </w:r>
          </w:p>
          <w:p w14:paraId="366730F3" w14:textId="77777777" w:rsidR="0056439B" w:rsidRPr="008D56F2" w:rsidRDefault="0056439B" w:rsidP="00EF1E87">
            <w:pPr>
              <w:jc w:val="left"/>
              <w:rPr>
                <w:rFonts w:eastAsia="Calibri"/>
                <w:sz w:val="17"/>
                <w:szCs w:val="17"/>
              </w:rPr>
            </w:pPr>
            <w:r w:rsidRPr="008D56F2">
              <w:rPr>
                <w:rFonts w:eastAsia="Calibri"/>
                <w:sz w:val="17"/>
                <w:szCs w:val="17"/>
              </w:rPr>
              <w:t>Evidence of implementation by contractors</w:t>
            </w:r>
            <w:r w:rsidR="00A50E31" w:rsidRPr="008D56F2">
              <w:rPr>
                <w:rFonts w:eastAsia="Calibri"/>
                <w:sz w:val="17"/>
                <w:szCs w:val="17"/>
              </w:rPr>
              <w:t>.</w:t>
            </w:r>
          </w:p>
        </w:tc>
        <w:tc>
          <w:tcPr>
            <w:tcW w:w="1715" w:type="dxa"/>
          </w:tcPr>
          <w:p w14:paraId="2FCDA309" w14:textId="77777777" w:rsidR="0056439B" w:rsidRPr="008D56F2" w:rsidRDefault="0056439B" w:rsidP="0056439B">
            <w:pPr>
              <w:jc w:val="left"/>
              <w:rPr>
                <w:sz w:val="17"/>
                <w:szCs w:val="17"/>
              </w:rPr>
            </w:pPr>
          </w:p>
        </w:tc>
      </w:tr>
      <w:tr w:rsidR="005B2153" w:rsidRPr="00A14FB6" w14:paraId="7A33CCD1" w14:textId="77777777" w:rsidTr="005B2153">
        <w:trPr>
          <w:gridAfter w:val="1"/>
          <w:wAfter w:w="64" w:type="dxa"/>
          <w:trHeight w:val="342"/>
        </w:trPr>
        <w:tc>
          <w:tcPr>
            <w:tcW w:w="467" w:type="dxa"/>
          </w:tcPr>
          <w:p w14:paraId="7DFCCF5B" w14:textId="77777777" w:rsidR="00546F57" w:rsidRPr="00A50E31" w:rsidRDefault="00546F57" w:rsidP="00546F57">
            <w:pPr>
              <w:rPr>
                <w:sz w:val="17"/>
                <w:szCs w:val="17"/>
              </w:rPr>
            </w:pPr>
            <w:r w:rsidRPr="00A50E31">
              <w:rPr>
                <w:sz w:val="17"/>
                <w:szCs w:val="17"/>
              </w:rPr>
              <w:lastRenderedPageBreak/>
              <w:t>1.4</w:t>
            </w:r>
          </w:p>
        </w:tc>
        <w:tc>
          <w:tcPr>
            <w:tcW w:w="3215" w:type="dxa"/>
          </w:tcPr>
          <w:p w14:paraId="66ABC207" w14:textId="46169A85" w:rsidR="00546F57" w:rsidRPr="00B53926" w:rsidRDefault="00546F57" w:rsidP="00546F57">
            <w:pPr>
              <w:jc w:val="left"/>
              <w:rPr>
                <w:rFonts w:eastAsia="Calibri"/>
                <w:sz w:val="17"/>
                <w:szCs w:val="17"/>
              </w:rPr>
            </w:pPr>
            <w:r w:rsidRPr="00B53926">
              <w:rPr>
                <w:rFonts w:eastAsia="Calibri"/>
                <w:sz w:val="17"/>
                <w:szCs w:val="17"/>
              </w:rPr>
              <w:t>Develop an EHSS Training Needs Analysis covering the breadth of EHSS issue areas</w:t>
            </w:r>
            <w:r w:rsidR="00EA2958">
              <w:rPr>
                <w:rFonts w:eastAsia="Calibri"/>
                <w:sz w:val="17"/>
                <w:szCs w:val="17"/>
              </w:rPr>
              <w:t xml:space="preserve"> for both DH Company and contractor staff</w:t>
            </w:r>
            <w:r w:rsidRPr="00B53926">
              <w:rPr>
                <w:rFonts w:eastAsia="Calibri"/>
                <w:sz w:val="17"/>
                <w:szCs w:val="17"/>
              </w:rPr>
              <w:t xml:space="preserve">. Use this information to cascade training requirements into the construction of the project. </w:t>
            </w:r>
          </w:p>
        </w:tc>
        <w:tc>
          <w:tcPr>
            <w:tcW w:w="1700" w:type="dxa"/>
          </w:tcPr>
          <w:p w14:paraId="663F7D01" w14:textId="77777777" w:rsidR="00546F57" w:rsidRPr="008D56F2" w:rsidRDefault="00546F57" w:rsidP="00546F57">
            <w:pPr>
              <w:jc w:val="left"/>
              <w:rPr>
                <w:rFonts w:eastAsia="Calibri"/>
                <w:sz w:val="17"/>
                <w:szCs w:val="17"/>
              </w:rPr>
            </w:pPr>
            <w:r w:rsidRPr="008D56F2">
              <w:rPr>
                <w:rFonts w:eastAsia="Calibri"/>
                <w:sz w:val="17"/>
                <w:szCs w:val="17"/>
              </w:rPr>
              <w:t>Consistent approach to EHSS requirements and expected training delivery and competences, including within contractors.</w:t>
            </w:r>
          </w:p>
        </w:tc>
        <w:tc>
          <w:tcPr>
            <w:tcW w:w="2268" w:type="dxa"/>
          </w:tcPr>
          <w:p w14:paraId="2CAB6FDF" w14:textId="77777777" w:rsidR="00546F57" w:rsidRPr="008D56F2" w:rsidRDefault="00546F57" w:rsidP="00546F57">
            <w:pPr>
              <w:jc w:val="left"/>
              <w:rPr>
                <w:rFonts w:eastAsia="Calibri"/>
                <w:sz w:val="17"/>
                <w:szCs w:val="17"/>
              </w:rPr>
            </w:pPr>
            <w:r w:rsidRPr="008D56F2">
              <w:rPr>
                <w:rFonts w:eastAsia="Calibri"/>
                <w:sz w:val="17"/>
                <w:szCs w:val="17"/>
              </w:rPr>
              <w:t>EBRD PR2 and PR4</w:t>
            </w:r>
          </w:p>
        </w:tc>
        <w:tc>
          <w:tcPr>
            <w:tcW w:w="1984" w:type="dxa"/>
          </w:tcPr>
          <w:p w14:paraId="47EF960D" w14:textId="77777777" w:rsidR="00546F57" w:rsidRPr="008D56F2" w:rsidRDefault="00546F57" w:rsidP="00546F57">
            <w:pPr>
              <w:jc w:val="left"/>
              <w:rPr>
                <w:rFonts w:eastAsia="Calibri"/>
                <w:sz w:val="17"/>
                <w:szCs w:val="17"/>
              </w:rPr>
            </w:pPr>
            <w:r w:rsidRPr="008D56F2">
              <w:rPr>
                <w:rFonts w:eastAsia="Calibri"/>
                <w:sz w:val="17"/>
                <w:szCs w:val="17"/>
              </w:rPr>
              <w:t>Own resources and training needs then factored into project level budget.</w:t>
            </w:r>
          </w:p>
        </w:tc>
        <w:tc>
          <w:tcPr>
            <w:tcW w:w="1560" w:type="dxa"/>
          </w:tcPr>
          <w:p w14:paraId="4D5C5AF8" w14:textId="77777777" w:rsidR="00546F57" w:rsidRPr="008D56F2" w:rsidRDefault="00546F57" w:rsidP="00546F57">
            <w:pPr>
              <w:jc w:val="left"/>
              <w:rPr>
                <w:rFonts w:eastAsia="Calibri"/>
                <w:sz w:val="17"/>
                <w:szCs w:val="17"/>
              </w:rPr>
            </w:pPr>
            <w:r w:rsidRPr="008D56F2">
              <w:rPr>
                <w:rFonts w:eastAsia="Calibri"/>
                <w:sz w:val="17"/>
                <w:szCs w:val="17"/>
              </w:rPr>
              <w:t xml:space="preserve">Training analysis for this investment prior to construction commencement. </w:t>
            </w:r>
          </w:p>
        </w:tc>
        <w:tc>
          <w:tcPr>
            <w:tcW w:w="1882" w:type="dxa"/>
          </w:tcPr>
          <w:p w14:paraId="6B1ACBA9" w14:textId="77777777" w:rsidR="00546F57" w:rsidRPr="008D56F2" w:rsidRDefault="00546F57" w:rsidP="00546F57">
            <w:pPr>
              <w:jc w:val="left"/>
              <w:rPr>
                <w:rFonts w:eastAsia="Calibri"/>
                <w:sz w:val="17"/>
                <w:szCs w:val="17"/>
              </w:rPr>
            </w:pPr>
            <w:r w:rsidRPr="008D56F2">
              <w:rPr>
                <w:rFonts w:eastAsia="Calibri"/>
                <w:sz w:val="17"/>
                <w:szCs w:val="17"/>
              </w:rPr>
              <w:t>Training needs assessment undertaken specific to this investment.</w:t>
            </w:r>
          </w:p>
        </w:tc>
        <w:tc>
          <w:tcPr>
            <w:tcW w:w="1715" w:type="dxa"/>
          </w:tcPr>
          <w:p w14:paraId="7E03FDFD" w14:textId="77777777" w:rsidR="00546F57" w:rsidRPr="008D56F2" w:rsidRDefault="00546F57" w:rsidP="00546F57">
            <w:pPr>
              <w:jc w:val="left"/>
              <w:rPr>
                <w:sz w:val="17"/>
                <w:szCs w:val="17"/>
              </w:rPr>
            </w:pPr>
          </w:p>
        </w:tc>
      </w:tr>
      <w:tr w:rsidR="005B2153" w:rsidRPr="00A14FB6" w14:paraId="51502715" w14:textId="77777777" w:rsidTr="005B2153">
        <w:trPr>
          <w:gridAfter w:val="1"/>
          <w:wAfter w:w="64" w:type="dxa"/>
          <w:trHeight w:val="654"/>
        </w:trPr>
        <w:tc>
          <w:tcPr>
            <w:tcW w:w="467" w:type="dxa"/>
          </w:tcPr>
          <w:p w14:paraId="30455C26" w14:textId="77777777" w:rsidR="00546F57" w:rsidRPr="00B86389" w:rsidRDefault="00546F57" w:rsidP="00546F57">
            <w:pPr>
              <w:rPr>
                <w:sz w:val="17"/>
                <w:szCs w:val="17"/>
              </w:rPr>
            </w:pPr>
            <w:r w:rsidRPr="00B86389">
              <w:rPr>
                <w:sz w:val="17"/>
                <w:szCs w:val="17"/>
              </w:rPr>
              <w:t>1.5</w:t>
            </w:r>
          </w:p>
        </w:tc>
        <w:tc>
          <w:tcPr>
            <w:tcW w:w="3215" w:type="dxa"/>
          </w:tcPr>
          <w:p w14:paraId="6FECD8C5" w14:textId="2F4CF52F" w:rsidR="00546F57" w:rsidRPr="00B53926" w:rsidRDefault="00A921D2" w:rsidP="00546F57">
            <w:pPr>
              <w:jc w:val="left"/>
              <w:rPr>
                <w:rFonts w:eastAsia="Calibri"/>
                <w:sz w:val="17"/>
                <w:szCs w:val="17"/>
              </w:rPr>
            </w:pPr>
            <w:r>
              <w:rPr>
                <w:rFonts w:eastAsia="Calibri"/>
                <w:sz w:val="17"/>
                <w:szCs w:val="17"/>
              </w:rPr>
              <w:t>Ensure</w:t>
            </w:r>
            <w:r w:rsidR="000F6E07">
              <w:rPr>
                <w:rFonts w:eastAsia="Calibri"/>
                <w:sz w:val="17"/>
                <w:szCs w:val="17"/>
              </w:rPr>
              <w:t xml:space="preserve"> that the Contractor d</w:t>
            </w:r>
            <w:r w:rsidR="00546F57" w:rsidRPr="00B53926">
              <w:rPr>
                <w:rFonts w:eastAsia="Calibri"/>
                <w:sz w:val="17"/>
                <w:szCs w:val="17"/>
              </w:rPr>
              <w:t>evelop</w:t>
            </w:r>
            <w:r w:rsidR="000F6E07">
              <w:rPr>
                <w:rFonts w:eastAsia="Calibri"/>
                <w:sz w:val="17"/>
                <w:szCs w:val="17"/>
              </w:rPr>
              <w:t>s</w:t>
            </w:r>
            <w:r w:rsidR="00546F57" w:rsidRPr="00B53926">
              <w:rPr>
                <w:rFonts w:eastAsia="Calibri"/>
                <w:sz w:val="17"/>
                <w:szCs w:val="17"/>
              </w:rPr>
              <w:t xml:space="preserve"> and implement</w:t>
            </w:r>
            <w:r w:rsidR="000F6E07">
              <w:rPr>
                <w:rFonts w:eastAsia="Calibri"/>
                <w:sz w:val="17"/>
                <w:szCs w:val="17"/>
              </w:rPr>
              <w:t>s</w:t>
            </w:r>
            <w:r w:rsidR="00546F57" w:rsidRPr="00B53926">
              <w:rPr>
                <w:rFonts w:eastAsia="Calibri"/>
                <w:sz w:val="17"/>
                <w:szCs w:val="17"/>
              </w:rPr>
              <w:t xml:space="preserve"> a Construction Phase Environmental, Health, Safety and Social Management Plan </w:t>
            </w:r>
            <w:r w:rsidR="00EF1E87" w:rsidRPr="00B53926">
              <w:rPr>
                <w:rFonts w:eastAsia="Calibri"/>
                <w:sz w:val="17"/>
                <w:szCs w:val="17"/>
              </w:rPr>
              <w:t>(CEMP)</w:t>
            </w:r>
            <w:r>
              <w:rPr>
                <w:rFonts w:eastAsia="Calibri"/>
                <w:sz w:val="17"/>
                <w:szCs w:val="17"/>
              </w:rPr>
              <w:t>.</w:t>
            </w:r>
            <w:r w:rsidRPr="00B53926" w:rsidDel="00A921D2">
              <w:rPr>
                <w:rFonts w:eastAsia="Calibri"/>
                <w:sz w:val="17"/>
                <w:szCs w:val="17"/>
              </w:rPr>
              <w:t xml:space="preserve"> </w:t>
            </w:r>
            <w:r>
              <w:rPr>
                <w:rFonts w:eastAsia="Calibri"/>
                <w:sz w:val="17"/>
                <w:szCs w:val="17"/>
              </w:rPr>
              <w:t>The ESMP will be shared with the contractors in order to guide the creation of the CEMP. The CEMP document must be reviewed</w:t>
            </w:r>
            <w:r w:rsidR="00173F70">
              <w:rPr>
                <w:rFonts w:eastAsia="Calibri"/>
                <w:sz w:val="17"/>
                <w:szCs w:val="17"/>
              </w:rPr>
              <w:t xml:space="preserve"> and approved by DH</w:t>
            </w:r>
            <w:r>
              <w:rPr>
                <w:rFonts w:eastAsia="Calibri"/>
                <w:sz w:val="17"/>
                <w:szCs w:val="17"/>
              </w:rPr>
              <w:t xml:space="preserve"> before construction begins. </w:t>
            </w:r>
          </w:p>
          <w:p w14:paraId="6C44FBE5" w14:textId="77777777" w:rsidR="00546F57" w:rsidRPr="00B53926" w:rsidRDefault="00546F57" w:rsidP="00546F57">
            <w:pPr>
              <w:jc w:val="left"/>
              <w:rPr>
                <w:rFonts w:eastAsia="Calibri"/>
                <w:sz w:val="17"/>
                <w:szCs w:val="17"/>
              </w:rPr>
            </w:pPr>
          </w:p>
          <w:p w14:paraId="2D80639F" w14:textId="77777777" w:rsidR="00546F57" w:rsidRPr="00B53926" w:rsidRDefault="00546F57" w:rsidP="00546F57">
            <w:pPr>
              <w:jc w:val="left"/>
              <w:rPr>
                <w:rFonts w:eastAsia="Calibri"/>
                <w:sz w:val="17"/>
                <w:szCs w:val="17"/>
              </w:rPr>
            </w:pPr>
            <w:r w:rsidRPr="00B53926">
              <w:rPr>
                <w:rFonts w:eastAsia="Calibri"/>
                <w:sz w:val="17"/>
                <w:szCs w:val="17"/>
              </w:rPr>
              <w:t>Ensure that the plan has adequate coverage of EHSS risks:</w:t>
            </w:r>
          </w:p>
          <w:p w14:paraId="317AA61A" w14:textId="77777777" w:rsidR="00546F57" w:rsidRPr="00B53926" w:rsidRDefault="00546F57" w:rsidP="00F4388E">
            <w:pPr>
              <w:pStyle w:val="ListBullet"/>
              <w:numPr>
                <w:ilvl w:val="0"/>
                <w:numId w:val="19"/>
              </w:numPr>
              <w:spacing w:after="0"/>
              <w:ind w:left="284" w:hanging="284"/>
              <w:rPr>
                <w:rFonts w:eastAsia="Calibri"/>
                <w:color w:val="auto"/>
                <w:sz w:val="17"/>
                <w:szCs w:val="17"/>
              </w:rPr>
            </w:pPr>
            <w:r w:rsidRPr="00B53926">
              <w:rPr>
                <w:rFonts w:eastAsia="Calibri"/>
                <w:color w:val="auto"/>
                <w:sz w:val="17"/>
                <w:szCs w:val="17"/>
              </w:rPr>
              <w:t xml:space="preserve">EHSS roles and responsibilities; </w:t>
            </w:r>
          </w:p>
          <w:p w14:paraId="4942F708" w14:textId="77777777" w:rsidR="00546F57" w:rsidRPr="00B53926" w:rsidRDefault="00F4388E" w:rsidP="00F4388E">
            <w:pPr>
              <w:pStyle w:val="ListBullet"/>
              <w:numPr>
                <w:ilvl w:val="0"/>
                <w:numId w:val="19"/>
              </w:numPr>
              <w:spacing w:after="0"/>
              <w:ind w:left="284" w:hanging="284"/>
              <w:rPr>
                <w:rFonts w:eastAsia="Calibri"/>
                <w:color w:val="auto"/>
                <w:sz w:val="17"/>
                <w:szCs w:val="17"/>
              </w:rPr>
            </w:pPr>
            <w:r w:rsidRPr="00B53926">
              <w:rPr>
                <w:rFonts w:eastAsia="Calibri"/>
                <w:color w:val="auto"/>
                <w:sz w:val="17"/>
                <w:szCs w:val="17"/>
              </w:rPr>
              <w:t>T</w:t>
            </w:r>
            <w:r w:rsidR="00546F57" w:rsidRPr="00B53926">
              <w:rPr>
                <w:rFonts w:eastAsia="Calibri"/>
                <w:color w:val="auto"/>
                <w:sz w:val="17"/>
                <w:szCs w:val="17"/>
              </w:rPr>
              <w:t>raining and communication;</w:t>
            </w:r>
          </w:p>
          <w:p w14:paraId="290BC19A" w14:textId="77777777" w:rsidR="00546F57" w:rsidRPr="00B53926" w:rsidRDefault="00546F57" w:rsidP="00F4388E">
            <w:pPr>
              <w:pStyle w:val="ListBullet"/>
              <w:numPr>
                <w:ilvl w:val="0"/>
                <w:numId w:val="19"/>
              </w:numPr>
              <w:spacing w:after="0"/>
              <w:ind w:left="284" w:hanging="284"/>
              <w:rPr>
                <w:rFonts w:eastAsia="Calibri"/>
                <w:color w:val="auto"/>
                <w:sz w:val="17"/>
                <w:szCs w:val="17"/>
              </w:rPr>
            </w:pPr>
            <w:r w:rsidRPr="00B53926">
              <w:rPr>
                <w:rFonts w:eastAsia="Calibri"/>
                <w:color w:val="auto"/>
                <w:sz w:val="17"/>
                <w:szCs w:val="17"/>
              </w:rPr>
              <w:t>Standards and requirements;</w:t>
            </w:r>
          </w:p>
          <w:p w14:paraId="430F06AA" w14:textId="77777777" w:rsidR="00546F57" w:rsidRPr="00B53926" w:rsidRDefault="00546F57" w:rsidP="00F4388E">
            <w:pPr>
              <w:pStyle w:val="ListBullet"/>
              <w:numPr>
                <w:ilvl w:val="0"/>
                <w:numId w:val="19"/>
              </w:numPr>
              <w:spacing w:after="0"/>
              <w:ind w:left="284" w:hanging="284"/>
              <w:rPr>
                <w:rFonts w:eastAsia="Calibri"/>
                <w:color w:val="auto"/>
                <w:sz w:val="17"/>
                <w:szCs w:val="17"/>
              </w:rPr>
            </w:pPr>
            <w:r w:rsidRPr="00B53926">
              <w:rPr>
                <w:rFonts w:eastAsia="Calibri"/>
                <w:color w:val="auto"/>
                <w:sz w:val="17"/>
                <w:szCs w:val="17"/>
              </w:rPr>
              <w:t>Construction Health and safety (H&amp;S) controls e.g. noise, vibration, asbestos management, safety in design, PPE, working at height</w:t>
            </w:r>
            <w:r w:rsidR="0096009D" w:rsidRPr="00B53926">
              <w:rPr>
                <w:rFonts w:eastAsia="Calibri"/>
                <w:color w:val="auto"/>
                <w:sz w:val="17"/>
                <w:szCs w:val="17"/>
              </w:rPr>
              <w:t xml:space="preserve"> (including scaffolding installation)</w:t>
            </w:r>
            <w:r w:rsidRPr="00B53926">
              <w:rPr>
                <w:rFonts w:eastAsia="Calibri"/>
                <w:color w:val="auto"/>
                <w:sz w:val="17"/>
                <w:szCs w:val="17"/>
              </w:rPr>
              <w:t>, electrical safety.</w:t>
            </w:r>
          </w:p>
          <w:p w14:paraId="327F79CE" w14:textId="77777777" w:rsidR="00673262" w:rsidRPr="00B53926" w:rsidRDefault="00546F57" w:rsidP="00F4388E">
            <w:pPr>
              <w:pStyle w:val="ListBullet"/>
              <w:numPr>
                <w:ilvl w:val="0"/>
                <w:numId w:val="19"/>
              </w:numPr>
              <w:spacing w:after="0"/>
              <w:ind w:left="284" w:hanging="284"/>
              <w:rPr>
                <w:rFonts w:eastAsia="Calibri"/>
                <w:color w:val="auto"/>
                <w:sz w:val="17"/>
                <w:szCs w:val="17"/>
              </w:rPr>
            </w:pPr>
            <w:r w:rsidRPr="00B53926">
              <w:rPr>
                <w:rFonts w:eastAsia="Calibri"/>
                <w:color w:val="auto"/>
                <w:sz w:val="17"/>
                <w:szCs w:val="17"/>
              </w:rPr>
              <w:lastRenderedPageBreak/>
              <w:t>Construction environmental controls e.g. air quality, noise, dust, waste management, water management, hazardous materials management.</w:t>
            </w:r>
          </w:p>
          <w:p w14:paraId="5F70A9B4" w14:textId="0D3DF742" w:rsidR="0096009D" w:rsidRPr="00B53926" w:rsidRDefault="00673262" w:rsidP="0096009D">
            <w:pPr>
              <w:pStyle w:val="ListBullet"/>
              <w:numPr>
                <w:ilvl w:val="0"/>
                <w:numId w:val="19"/>
              </w:numPr>
              <w:spacing w:after="0"/>
              <w:ind w:left="284" w:hanging="284"/>
              <w:rPr>
                <w:rFonts w:eastAsia="Calibri"/>
                <w:color w:val="auto"/>
                <w:sz w:val="17"/>
                <w:szCs w:val="17"/>
              </w:rPr>
            </w:pPr>
            <w:r w:rsidRPr="00B53926">
              <w:rPr>
                <w:rFonts w:eastAsia="Calibri"/>
                <w:color w:val="auto"/>
                <w:sz w:val="17"/>
                <w:szCs w:val="17"/>
              </w:rPr>
              <w:t>Plans for Community Health and Safety, including where relevant, provision of road signs during the construction stage; sufficient notice to communities (including women) about the construction work; develop specific routes to ensure community right of way is not affected;</w:t>
            </w:r>
            <w:r w:rsidR="00A921D2">
              <w:rPr>
                <w:rFonts w:eastAsia="Calibri"/>
                <w:color w:val="auto"/>
                <w:sz w:val="17"/>
                <w:szCs w:val="17"/>
              </w:rPr>
              <w:t xml:space="preserve"> considerations of avoiding pedetrians whilst working;</w:t>
            </w:r>
            <w:r w:rsidRPr="00B53926">
              <w:rPr>
                <w:rFonts w:eastAsia="Calibri"/>
                <w:color w:val="auto"/>
                <w:sz w:val="17"/>
                <w:szCs w:val="17"/>
              </w:rPr>
              <w:t xml:space="preserve"> and to minimise disruption to road traffic.</w:t>
            </w:r>
            <w:r w:rsidR="00E87AD0">
              <w:rPr>
                <w:rFonts w:eastAsia="Calibri"/>
                <w:color w:val="auto"/>
                <w:sz w:val="17"/>
                <w:szCs w:val="17"/>
              </w:rPr>
              <w:t xml:space="preserve"> </w:t>
            </w:r>
            <w:r w:rsidR="0096009D" w:rsidRPr="00B53926">
              <w:rPr>
                <w:rFonts w:eastAsia="Calibri"/>
                <w:color w:val="auto"/>
                <w:sz w:val="17"/>
                <w:szCs w:val="17"/>
              </w:rPr>
              <w:t>Scaffolding installed should ensure that all entrances/exits to buildings are not blocked by scaffolding, fire exits remain open (or temporary routes defined), business entrances remain open and accessible, and disability access is not impaired.</w:t>
            </w:r>
          </w:p>
          <w:p w14:paraId="002B3E61" w14:textId="5EBAD1E9" w:rsidR="005B2153" w:rsidRPr="00B53926" w:rsidRDefault="005B2153" w:rsidP="005E565A">
            <w:pPr>
              <w:pStyle w:val="ListBullet"/>
              <w:numPr>
                <w:ilvl w:val="0"/>
                <w:numId w:val="19"/>
              </w:numPr>
              <w:spacing w:after="0"/>
              <w:ind w:left="284" w:hanging="284"/>
              <w:rPr>
                <w:rFonts w:eastAsia="Calibri"/>
                <w:color w:val="auto"/>
                <w:sz w:val="17"/>
                <w:szCs w:val="17"/>
              </w:rPr>
            </w:pPr>
            <w:r w:rsidRPr="00B53926">
              <w:rPr>
                <w:rFonts w:eastAsia="Calibri"/>
                <w:color w:val="auto"/>
                <w:sz w:val="17"/>
                <w:szCs w:val="17"/>
              </w:rPr>
              <w:t xml:space="preserve">Emergency preparedness and response plans </w:t>
            </w:r>
            <w:r w:rsidR="00E87AD0">
              <w:rPr>
                <w:rFonts w:eastAsia="Calibri"/>
                <w:color w:val="auto"/>
                <w:sz w:val="17"/>
                <w:szCs w:val="17"/>
              </w:rPr>
              <w:t>during construction,</w:t>
            </w:r>
            <w:r w:rsidRPr="00B53926">
              <w:rPr>
                <w:rFonts w:eastAsia="Calibri"/>
                <w:color w:val="auto"/>
                <w:sz w:val="17"/>
                <w:szCs w:val="17"/>
              </w:rPr>
              <w:t xml:space="preserve"> covering both occupants and the Contractor’s workers and natural hazards such as earthquake, flood and extreme weather scenarios.</w:t>
            </w:r>
          </w:p>
          <w:p w14:paraId="1604B681" w14:textId="77777777" w:rsidR="005B2153" w:rsidRPr="00B53926" w:rsidRDefault="005B2153" w:rsidP="005B2153">
            <w:pPr>
              <w:pStyle w:val="ListBullet"/>
              <w:numPr>
                <w:ilvl w:val="0"/>
                <w:numId w:val="19"/>
              </w:numPr>
              <w:spacing w:after="0"/>
              <w:ind w:left="284" w:hanging="284"/>
              <w:rPr>
                <w:rFonts w:eastAsia="Calibri"/>
                <w:color w:val="auto"/>
                <w:sz w:val="17"/>
                <w:szCs w:val="17"/>
              </w:rPr>
            </w:pPr>
            <w:r w:rsidRPr="00B53926">
              <w:rPr>
                <w:rFonts w:eastAsia="Calibri"/>
                <w:color w:val="auto"/>
                <w:sz w:val="17"/>
                <w:szCs w:val="17"/>
              </w:rPr>
              <w:t>Contacts and responsible personnel in case of emergency will be required for each renovated residential building and should be displayed.</w:t>
            </w:r>
          </w:p>
          <w:p w14:paraId="4DDA2D3C" w14:textId="77777777" w:rsidR="005B2153" w:rsidRDefault="005B2153" w:rsidP="005B2153">
            <w:pPr>
              <w:pStyle w:val="ListBullet"/>
              <w:numPr>
                <w:ilvl w:val="0"/>
                <w:numId w:val="19"/>
              </w:numPr>
              <w:spacing w:after="0"/>
              <w:ind w:left="284" w:hanging="284"/>
              <w:rPr>
                <w:rFonts w:eastAsia="Calibri"/>
                <w:color w:val="auto"/>
                <w:sz w:val="17"/>
                <w:szCs w:val="17"/>
              </w:rPr>
            </w:pPr>
            <w:r w:rsidRPr="00B53926">
              <w:rPr>
                <w:rFonts w:eastAsia="Calibri"/>
                <w:color w:val="auto"/>
                <w:sz w:val="17"/>
                <w:szCs w:val="17"/>
              </w:rPr>
              <w:t>Fire extinguishers should be recorded on a plan with their location, provided a unique identifier number and be periodically inspected for condition.</w:t>
            </w:r>
          </w:p>
          <w:p w14:paraId="66FF3D89" w14:textId="1746F6D3" w:rsidR="00173F70" w:rsidRPr="00B53926" w:rsidRDefault="00173F70" w:rsidP="005B2153">
            <w:pPr>
              <w:pStyle w:val="ListBullet"/>
              <w:numPr>
                <w:ilvl w:val="0"/>
                <w:numId w:val="19"/>
              </w:numPr>
              <w:spacing w:after="0"/>
              <w:ind w:left="284" w:hanging="284"/>
              <w:rPr>
                <w:rFonts w:eastAsia="Calibri"/>
                <w:color w:val="auto"/>
                <w:sz w:val="17"/>
                <w:szCs w:val="17"/>
              </w:rPr>
            </w:pPr>
            <w:r>
              <w:rPr>
                <w:sz w:val="17"/>
                <w:szCs w:val="17"/>
              </w:rPr>
              <w:t>Suitable provision for worker welfare (e.g. first aid room, mess toom and other amenities.</w:t>
            </w:r>
          </w:p>
          <w:p w14:paraId="46062BBF" w14:textId="77777777" w:rsidR="00546F57" w:rsidRPr="00B53926" w:rsidRDefault="00546F57" w:rsidP="00546F57">
            <w:pPr>
              <w:jc w:val="left"/>
              <w:rPr>
                <w:rFonts w:eastAsia="Calibri"/>
                <w:sz w:val="17"/>
                <w:szCs w:val="17"/>
              </w:rPr>
            </w:pPr>
            <w:r w:rsidRPr="00B53926">
              <w:rPr>
                <w:sz w:val="17"/>
                <w:szCs w:val="17"/>
              </w:rPr>
              <w:t xml:space="preserve">Communicate this to all contractors and ensure adherence with standards and </w:t>
            </w:r>
            <w:r w:rsidRPr="00B53926">
              <w:rPr>
                <w:sz w:val="17"/>
                <w:szCs w:val="17"/>
              </w:rPr>
              <w:lastRenderedPageBreak/>
              <w:t>requirements.</w:t>
            </w:r>
            <w:r w:rsidRPr="00B53926">
              <w:rPr>
                <w:rFonts w:eastAsia="Calibri"/>
                <w:sz w:val="17"/>
                <w:szCs w:val="17"/>
              </w:rPr>
              <w:t xml:space="preserve">  </w:t>
            </w:r>
          </w:p>
        </w:tc>
        <w:tc>
          <w:tcPr>
            <w:tcW w:w="1700" w:type="dxa"/>
          </w:tcPr>
          <w:p w14:paraId="75C91F57" w14:textId="77777777" w:rsidR="00546F57" w:rsidRPr="008D56F2" w:rsidRDefault="00546F57" w:rsidP="00546F57">
            <w:pPr>
              <w:jc w:val="left"/>
              <w:rPr>
                <w:rFonts w:eastAsia="Calibri"/>
                <w:sz w:val="17"/>
                <w:szCs w:val="17"/>
              </w:rPr>
            </w:pPr>
            <w:r w:rsidRPr="008D56F2">
              <w:rPr>
                <w:rFonts w:eastAsia="Calibri"/>
                <w:sz w:val="17"/>
                <w:szCs w:val="17"/>
              </w:rPr>
              <w:lastRenderedPageBreak/>
              <w:t>Improvement in environmental, health and safety performance</w:t>
            </w:r>
          </w:p>
          <w:p w14:paraId="3FC44E75" w14:textId="77777777" w:rsidR="00673262" w:rsidRPr="008D56F2" w:rsidRDefault="00673262" w:rsidP="00673262">
            <w:pPr>
              <w:jc w:val="left"/>
              <w:rPr>
                <w:sz w:val="17"/>
                <w:szCs w:val="17"/>
              </w:rPr>
            </w:pPr>
            <w:r w:rsidRPr="008D56F2">
              <w:rPr>
                <w:sz w:val="17"/>
                <w:szCs w:val="17"/>
              </w:rPr>
              <w:t>Ensuring community health and safety</w:t>
            </w:r>
          </w:p>
          <w:p w14:paraId="6902B019" w14:textId="77777777" w:rsidR="00673262" w:rsidRPr="008D56F2" w:rsidRDefault="00673262" w:rsidP="00546F57">
            <w:pPr>
              <w:jc w:val="left"/>
              <w:rPr>
                <w:rFonts w:eastAsia="Calibri"/>
                <w:sz w:val="17"/>
                <w:szCs w:val="17"/>
              </w:rPr>
            </w:pPr>
          </w:p>
        </w:tc>
        <w:tc>
          <w:tcPr>
            <w:tcW w:w="2268" w:type="dxa"/>
          </w:tcPr>
          <w:p w14:paraId="272AA7DE" w14:textId="77777777" w:rsidR="00546F57" w:rsidRPr="00392F88" w:rsidRDefault="00546F57" w:rsidP="00546F57">
            <w:pPr>
              <w:jc w:val="left"/>
              <w:rPr>
                <w:rFonts w:eastAsia="Calibri"/>
                <w:sz w:val="17"/>
                <w:szCs w:val="17"/>
                <w:lang w:val="fr-FR"/>
              </w:rPr>
            </w:pPr>
            <w:r w:rsidRPr="00392F88">
              <w:rPr>
                <w:rFonts w:eastAsia="Calibri"/>
                <w:sz w:val="17"/>
                <w:szCs w:val="17"/>
                <w:lang w:val="fr-FR"/>
              </w:rPr>
              <w:t>EBRD PR1, PR3</w:t>
            </w:r>
            <w:r w:rsidR="0096009D" w:rsidRPr="00392F88">
              <w:rPr>
                <w:rFonts w:eastAsia="Calibri"/>
                <w:sz w:val="17"/>
                <w:szCs w:val="17"/>
                <w:lang w:val="fr-FR"/>
              </w:rPr>
              <w:t xml:space="preserve">, </w:t>
            </w:r>
            <w:r w:rsidRPr="00392F88">
              <w:rPr>
                <w:rFonts w:eastAsia="Calibri"/>
                <w:sz w:val="17"/>
                <w:szCs w:val="17"/>
                <w:lang w:val="fr-FR"/>
              </w:rPr>
              <w:t>PR4</w:t>
            </w:r>
            <w:r w:rsidR="0096009D" w:rsidRPr="00392F88">
              <w:rPr>
                <w:rFonts w:eastAsia="Calibri"/>
                <w:sz w:val="17"/>
                <w:szCs w:val="17"/>
                <w:lang w:val="fr-FR"/>
              </w:rPr>
              <w:t>, PR5</w:t>
            </w:r>
            <w:r w:rsidRPr="00392F88">
              <w:rPr>
                <w:rFonts w:eastAsia="Calibri"/>
                <w:sz w:val="17"/>
                <w:szCs w:val="17"/>
                <w:lang w:val="fr-FR"/>
              </w:rPr>
              <w:t>.</w:t>
            </w:r>
          </w:p>
        </w:tc>
        <w:tc>
          <w:tcPr>
            <w:tcW w:w="1984" w:type="dxa"/>
          </w:tcPr>
          <w:p w14:paraId="2A76C1FF" w14:textId="77777777" w:rsidR="00546F57" w:rsidRPr="008D56F2" w:rsidRDefault="00546F57" w:rsidP="00546F57">
            <w:pPr>
              <w:suppressAutoHyphens/>
              <w:jc w:val="left"/>
              <w:rPr>
                <w:rFonts w:eastAsia="Calibri"/>
                <w:sz w:val="17"/>
                <w:szCs w:val="17"/>
              </w:rPr>
            </w:pPr>
            <w:r w:rsidRPr="008D56F2">
              <w:rPr>
                <w:rFonts w:eastAsia="Calibri"/>
                <w:sz w:val="17"/>
                <w:szCs w:val="17"/>
              </w:rPr>
              <w:t xml:space="preserve">Internal resource (approved or contractor) or external recruit. </w:t>
            </w:r>
          </w:p>
        </w:tc>
        <w:tc>
          <w:tcPr>
            <w:tcW w:w="1560" w:type="dxa"/>
          </w:tcPr>
          <w:p w14:paraId="28FD1F04" w14:textId="1D4347AA" w:rsidR="00546F57" w:rsidRPr="008D56F2" w:rsidDel="008132FD" w:rsidRDefault="00173F70" w:rsidP="00173F70">
            <w:pPr>
              <w:jc w:val="left"/>
              <w:rPr>
                <w:rFonts w:eastAsia="Calibri"/>
                <w:sz w:val="17"/>
                <w:szCs w:val="17"/>
              </w:rPr>
            </w:pPr>
            <w:r>
              <w:rPr>
                <w:rFonts w:eastAsia="Calibri"/>
                <w:sz w:val="17"/>
                <w:szCs w:val="17"/>
              </w:rPr>
              <w:t>CEMP (or similar plans) developed by Contractor and approved by DH p</w:t>
            </w:r>
            <w:r w:rsidR="00B86389" w:rsidRPr="008D56F2">
              <w:rPr>
                <w:rFonts w:eastAsia="Calibri"/>
                <w:sz w:val="17"/>
                <w:szCs w:val="17"/>
              </w:rPr>
              <w:t>rior to</w:t>
            </w:r>
            <w:r w:rsidR="00546F57" w:rsidRPr="008D56F2">
              <w:rPr>
                <w:rFonts w:eastAsia="Calibri"/>
                <w:sz w:val="17"/>
                <w:szCs w:val="17"/>
              </w:rPr>
              <w:t xml:space="preserve"> </w:t>
            </w:r>
            <w:r>
              <w:rPr>
                <w:rFonts w:eastAsia="Calibri"/>
                <w:sz w:val="17"/>
                <w:szCs w:val="17"/>
              </w:rPr>
              <w:t xml:space="preserve">start of </w:t>
            </w:r>
            <w:r w:rsidR="00546F57" w:rsidRPr="008D56F2">
              <w:rPr>
                <w:rFonts w:eastAsia="Calibri"/>
                <w:sz w:val="17"/>
                <w:szCs w:val="17"/>
              </w:rPr>
              <w:t>construction works.</w:t>
            </w:r>
          </w:p>
        </w:tc>
        <w:tc>
          <w:tcPr>
            <w:tcW w:w="1882" w:type="dxa"/>
          </w:tcPr>
          <w:p w14:paraId="119BABF5" w14:textId="77777777" w:rsidR="00546F57" w:rsidRPr="008D56F2" w:rsidRDefault="00546F57" w:rsidP="00546F57">
            <w:pPr>
              <w:jc w:val="left"/>
              <w:rPr>
                <w:rFonts w:eastAsia="Calibri"/>
                <w:sz w:val="17"/>
                <w:szCs w:val="17"/>
              </w:rPr>
            </w:pPr>
            <w:r w:rsidRPr="008D56F2">
              <w:rPr>
                <w:rFonts w:eastAsia="Calibri"/>
                <w:sz w:val="17"/>
                <w:szCs w:val="17"/>
              </w:rPr>
              <w:t>Development and implementation of a construction phase EHSS management plan</w:t>
            </w:r>
            <w:r w:rsidR="00EF1E87" w:rsidRPr="008D56F2">
              <w:rPr>
                <w:rFonts w:eastAsia="Calibri"/>
                <w:sz w:val="17"/>
                <w:szCs w:val="17"/>
              </w:rPr>
              <w:t xml:space="preserve"> (CEMP)</w:t>
            </w:r>
          </w:p>
          <w:p w14:paraId="1C207EC4" w14:textId="39211070" w:rsidR="005B2153" w:rsidRPr="008D56F2" w:rsidRDefault="005B2153" w:rsidP="00546F57">
            <w:pPr>
              <w:jc w:val="left"/>
              <w:rPr>
                <w:rFonts w:eastAsia="Calibri"/>
                <w:sz w:val="17"/>
                <w:szCs w:val="17"/>
              </w:rPr>
            </w:pPr>
          </w:p>
        </w:tc>
        <w:tc>
          <w:tcPr>
            <w:tcW w:w="1715" w:type="dxa"/>
          </w:tcPr>
          <w:p w14:paraId="25ABF7DA" w14:textId="49632376" w:rsidR="00546F57" w:rsidRPr="008D56F2" w:rsidRDefault="00546F57" w:rsidP="00546F57">
            <w:pPr>
              <w:jc w:val="left"/>
              <w:rPr>
                <w:sz w:val="17"/>
                <w:szCs w:val="17"/>
              </w:rPr>
            </w:pPr>
          </w:p>
        </w:tc>
      </w:tr>
      <w:tr w:rsidR="001112C9" w:rsidRPr="00A14FB6" w14:paraId="35A17509" w14:textId="77777777" w:rsidTr="005B2153">
        <w:trPr>
          <w:gridAfter w:val="1"/>
          <w:wAfter w:w="64" w:type="dxa"/>
          <w:trHeight w:val="654"/>
        </w:trPr>
        <w:tc>
          <w:tcPr>
            <w:tcW w:w="467" w:type="dxa"/>
          </w:tcPr>
          <w:p w14:paraId="688E4EBA" w14:textId="42B55F63" w:rsidR="001112C9" w:rsidRPr="00B86389" w:rsidRDefault="001112C9" w:rsidP="001112C9">
            <w:pPr>
              <w:rPr>
                <w:sz w:val="17"/>
                <w:szCs w:val="17"/>
              </w:rPr>
            </w:pPr>
            <w:r>
              <w:rPr>
                <w:sz w:val="17"/>
                <w:szCs w:val="17"/>
              </w:rPr>
              <w:lastRenderedPageBreak/>
              <w:t>1.6</w:t>
            </w:r>
          </w:p>
        </w:tc>
        <w:tc>
          <w:tcPr>
            <w:tcW w:w="3215" w:type="dxa"/>
          </w:tcPr>
          <w:p w14:paraId="3DF170B0" w14:textId="52DFA2C7" w:rsidR="001112C9" w:rsidRDefault="001112C9" w:rsidP="001112C9">
            <w:pPr>
              <w:jc w:val="left"/>
              <w:rPr>
                <w:rFonts w:eastAsia="Calibri"/>
                <w:sz w:val="17"/>
                <w:szCs w:val="17"/>
              </w:rPr>
            </w:pPr>
            <w:r>
              <w:rPr>
                <w:rFonts w:eastAsia="Calibri"/>
                <w:sz w:val="17"/>
                <w:szCs w:val="17"/>
              </w:rPr>
              <w:t>Ensure that the Supervising Engineer possesses a dedicated EHS specialist who will monitor the implementation of the</w:t>
            </w:r>
            <w:r w:rsidR="00AB2602">
              <w:rPr>
                <w:rFonts w:eastAsia="Calibri"/>
                <w:sz w:val="17"/>
                <w:szCs w:val="17"/>
              </w:rPr>
              <w:t xml:space="preserve"> ESAP,</w:t>
            </w:r>
            <w:r>
              <w:rPr>
                <w:rFonts w:eastAsia="Calibri"/>
                <w:sz w:val="17"/>
                <w:szCs w:val="17"/>
              </w:rPr>
              <w:t xml:space="preserve"> ESMP and CEMP. </w:t>
            </w:r>
          </w:p>
          <w:p w14:paraId="3B1BE03E" w14:textId="77777777" w:rsidR="001112C9" w:rsidRDefault="001112C9" w:rsidP="001112C9">
            <w:pPr>
              <w:jc w:val="left"/>
              <w:rPr>
                <w:rFonts w:eastAsia="Calibri"/>
                <w:sz w:val="17"/>
                <w:szCs w:val="17"/>
              </w:rPr>
            </w:pPr>
          </w:p>
          <w:p w14:paraId="699B1725" w14:textId="77777777" w:rsidR="001112C9" w:rsidRDefault="001112C9" w:rsidP="001112C9">
            <w:pPr>
              <w:jc w:val="left"/>
              <w:rPr>
                <w:rFonts w:eastAsia="Calibri"/>
                <w:sz w:val="17"/>
                <w:szCs w:val="17"/>
              </w:rPr>
            </w:pPr>
            <w:r>
              <w:rPr>
                <w:rFonts w:eastAsia="Calibri"/>
                <w:sz w:val="17"/>
                <w:szCs w:val="17"/>
              </w:rPr>
              <w:t xml:space="preserve">Project Director and Officer for Occupational Safety and Health to conduct weekly EHS meetings with this individual.  </w:t>
            </w:r>
          </w:p>
          <w:p w14:paraId="3FE6176E" w14:textId="77777777" w:rsidR="00AB2602" w:rsidRDefault="00AB2602" w:rsidP="001112C9">
            <w:pPr>
              <w:jc w:val="left"/>
              <w:rPr>
                <w:rFonts w:eastAsia="Calibri"/>
                <w:sz w:val="17"/>
                <w:szCs w:val="17"/>
              </w:rPr>
            </w:pPr>
          </w:p>
          <w:p w14:paraId="366F18ED" w14:textId="7DD3C2D3" w:rsidR="00AB2602" w:rsidRDefault="00AB2602" w:rsidP="001112C9">
            <w:pPr>
              <w:jc w:val="left"/>
              <w:rPr>
                <w:rFonts w:eastAsia="Calibri"/>
                <w:sz w:val="17"/>
                <w:szCs w:val="17"/>
              </w:rPr>
            </w:pPr>
            <w:r>
              <w:rPr>
                <w:rFonts w:eastAsia="Calibri"/>
                <w:sz w:val="17"/>
                <w:szCs w:val="17"/>
              </w:rPr>
              <w:t>Supervising Engineer scope to be in line with Serbian regulation.</w:t>
            </w:r>
          </w:p>
        </w:tc>
        <w:tc>
          <w:tcPr>
            <w:tcW w:w="1700" w:type="dxa"/>
          </w:tcPr>
          <w:p w14:paraId="5F1C1064" w14:textId="6EF3AE9A" w:rsidR="001112C9" w:rsidRPr="008D56F2" w:rsidRDefault="001112C9" w:rsidP="001112C9">
            <w:pPr>
              <w:jc w:val="left"/>
              <w:rPr>
                <w:rFonts w:eastAsia="Calibri"/>
                <w:sz w:val="17"/>
                <w:szCs w:val="17"/>
              </w:rPr>
            </w:pPr>
            <w:r>
              <w:rPr>
                <w:rFonts w:eastAsia="Calibri"/>
                <w:sz w:val="17"/>
                <w:szCs w:val="17"/>
              </w:rPr>
              <w:t>Regular monitoring and the implementation of the ESMP and CEMP to ensure E&amp;S compliance.</w:t>
            </w:r>
          </w:p>
        </w:tc>
        <w:tc>
          <w:tcPr>
            <w:tcW w:w="2268" w:type="dxa"/>
          </w:tcPr>
          <w:p w14:paraId="52ADB36E" w14:textId="00ECB235" w:rsidR="001112C9" w:rsidRPr="00392F88" w:rsidRDefault="001112C9" w:rsidP="001112C9">
            <w:pPr>
              <w:jc w:val="left"/>
              <w:rPr>
                <w:rFonts w:eastAsia="Calibri"/>
                <w:sz w:val="17"/>
                <w:szCs w:val="17"/>
                <w:lang w:val="fr-FR"/>
              </w:rPr>
            </w:pPr>
            <w:r w:rsidRPr="00392F88">
              <w:rPr>
                <w:rFonts w:eastAsia="Calibri"/>
                <w:sz w:val="17"/>
                <w:szCs w:val="17"/>
                <w:lang w:val="fr-FR"/>
              </w:rPr>
              <w:t>EBRD PR1,</w:t>
            </w:r>
            <w:r>
              <w:rPr>
                <w:rFonts w:eastAsia="Calibri"/>
                <w:sz w:val="17"/>
                <w:szCs w:val="17"/>
                <w:lang w:val="fr-FR"/>
              </w:rPr>
              <w:t xml:space="preserve"> PR 2,</w:t>
            </w:r>
            <w:r w:rsidRPr="00392F88">
              <w:rPr>
                <w:rFonts w:eastAsia="Calibri"/>
                <w:sz w:val="17"/>
                <w:szCs w:val="17"/>
                <w:lang w:val="fr-FR"/>
              </w:rPr>
              <w:t xml:space="preserve"> PR3, PR4, PR5</w:t>
            </w:r>
            <w:r>
              <w:rPr>
                <w:rFonts w:eastAsia="Calibri"/>
                <w:sz w:val="17"/>
                <w:szCs w:val="17"/>
                <w:lang w:val="fr-FR"/>
              </w:rPr>
              <w:t xml:space="preserve">, PR10 </w:t>
            </w:r>
          </w:p>
        </w:tc>
        <w:tc>
          <w:tcPr>
            <w:tcW w:w="1984" w:type="dxa"/>
          </w:tcPr>
          <w:p w14:paraId="6CC95A66" w14:textId="178F8A57" w:rsidR="001112C9" w:rsidRPr="008D56F2" w:rsidRDefault="001112C9" w:rsidP="001112C9">
            <w:pPr>
              <w:suppressAutoHyphens/>
              <w:jc w:val="left"/>
              <w:rPr>
                <w:rFonts w:eastAsia="Calibri"/>
                <w:sz w:val="17"/>
                <w:szCs w:val="17"/>
              </w:rPr>
            </w:pPr>
            <w:r>
              <w:rPr>
                <w:rFonts w:eastAsia="Calibri"/>
                <w:sz w:val="17"/>
                <w:szCs w:val="17"/>
              </w:rPr>
              <w:t>Own resources and Supervising Engineer staff member</w:t>
            </w:r>
          </w:p>
        </w:tc>
        <w:tc>
          <w:tcPr>
            <w:tcW w:w="1560" w:type="dxa"/>
          </w:tcPr>
          <w:p w14:paraId="039DFA49" w14:textId="7730B105" w:rsidR="001112C9" w:rsidRPr="008D56F2" w:rsidRDefault="001112C9" w:rsidP="001112C9">
            <w:pPr>
              <w:jc w:val="left"/>
              <w:rPr>
                <w:rFonts w:eastAsia="Calibri"/>
                <w:sz w:val="17"/>
                <w:szCs w:val="17"/>
              </w:rPr>
            </w:pPr>
            <w:r>
              <w:rPr>
                <w:rFonts w:eastAsia="Calibri"/>
                <w:sz w:val="17"/>
                <w:szCs w:val="17"/>
              </w:rPr>
              <w:t xml:space="preserve">Regular (including wekly meetings) </w:t>
            </w:r>
          </w:p>
        </w:tc>
        <w:tc>
          <w:tcPr>
            <w:tcW w:w="1882" w:type="dxa"/>
          </w:tcPr>
          <w:p w14:paraId="5E97867A" w14:textId="74E5DF9D" w:rsidR="001112C9" w:rsidRPr="008D56F2" w:rsidRDefault="001112C9" w:rsidP="001112C9">
            <w:pPr>
              <w:jc w:val="left"/>
              <w:rPr>
                <w:rFonts w:eastAsia="Calibri"/>
                <w:sz w:val="17"/>
                <w:szCs w:val="17"/>
              </w:rPr>
            </w:pPr>
            <w:r>
              <w:rPr>
                <w:rFonts w:eastAsia="Calibri"/>
                <w:sz w:val="17"/>
                <w:szCs w:val="17"/>
              </w:rPr>
              <w:t xml:space="preserve">Weekly reports on EHS </w:t>
            </w:r>
          </w:p>
        </w:tc>
        <w:tc>
          <w:tcPr>
            <w:tcW w:w="1715" w:type="dxa"/>
          </w:tcPr>
          <w:p w14:paraId="760EECDB" w14:textId="44FC3F55" w:rsidR="001112C9" w:rsidRPr="008D56F2" w:rsidRDefault="001112C9" w:rsidP="001112C9">
            <w:pPr>
              <w:jc w:val="left"/>
              <w:rPr>
                <w:sz w:val="17"/>
                <w:szCs w:val="17"/>
              </w:rPr>
            </w:pPr>
          </w:p>
        </w:tc>
      </w:tr>
      <w:tr w:rsidR="005B2153" w:rsidRPr="00A14FB6" w14:paraId="6F3CBB59" w14:textId="77777777" w:rsidTr="005B2153">
        <w:trPr>
          <w:gridAfter w:val="1"/>
          <w:wAfter w:w="64" w:type="dxa"/>
          <w:trHeight w:val="452"/>
        </w:trPr>
        <w:tc>
          <w:tcPr>
            <w:tcW w:w="14791" w:type="dxa"/>
            <w:gridSpan w:val="8"/>
            <w:vAlign w:val="center"/>
          </w:tcPr>
          <w:p w14:paraId="0AF83603" w14:textId="77777777" w:rsidR="005B2153" w:rsidRPr="008D56F2" w:rsidRDefault="005B2153" w:rsidP="0096009D">
            <w:pPr>
              <w:keepNext/>
              <w:jc w:val="left"/>
              <w:rPr>
                <w:sz w:val="17"/>
                <w:szCs w:val="17"/>
              </w:rPr>
            </w:pPr>
            <w:r w:rsidRPr="008D56F2">
              <w:rPr>
                <w:b/>
                <w:i/>
                <w:sz w:val="17"/>
                <w:szCs w:val="17"/>
              </w:rPr>
              <w:t xml:space="preserve">PR 2: Labour and Working Conditions </w:t>
            </w:r>
          </w:p>
        </w:tc>
      </w:tr>
      <w:tr w:rsidR="005B2153" w:rsidRPr="00A14FB6" w14:paraId="0DF1871A" w14:textId="77777777" w:rsidTr="005B2153">
        <w:trPr>
          <w:gridAfter w:val="1"/>
          <w:wAfter w:w="64" w:type="dxa"/>
          <w:trHeight w:val="654"/>
        </w:trPr>
        <w:tc>
          <w:tcPr>
            <w:tcW w:w="467" w:type="dxa"/>
          </w:tcPr>
          <w:p w14:paraId="07EC3042" w14:textId="77777777" w:rsidR="005B2153" w:rsidRPr="00B86389" w:rsidRDefault="005B2153" w:rsidP="005B2153">
            <w:pPr>
              <w:rPr>
                <w:sz w:val="17"/>
                <w:szCs w:val="17"/>
              </w:rPr>
            </w:pPr>
            <w:r w:rsidRPr="00A14FB6">
              <w:rPr>
                <w:sz w:val="17"/>
                <w:szCs w:val="17"/>
              </w:rPr>
              <w:t>2.1</w:t>
            </w:r>
          </w:p>
        </w:tc>
        <w:tc>
          <w:tcPr>
            <w:tcW w:w="3215" w:type="dxa"/>
          </w:tcPr>
          <w:p w14:paraId="0B040F40" w14:textId="687499E9" w:rsidR="005B2153" w:rsidRPr="00B53926" w:rsidRDefault="005B2153" w:rsidP="005B2153">
            <w:pPr>
              <w:jc w:val="left"/>
              <w:rPr>
                <w:rFonts w:eastAsia="Calibri"/>
                <w:sz w:val="17"/>
                <w:szCs w:val="17"/>
              </w:rPr>
            </w:pPr>
            <w:r w:rsidRPr="00B53926">
              <w:rPr>
                <w:rFonts w:eastAsia="Calibri"/>
                <w:sz w:val="17"/>
                <w:szCs w:val="17"/>
              </w:rPr>
              <w:t>Develop a Project-specific HR Policy</w:t>
            </w:r>
            <w:r w:rsidR="00AB2602">
              <w:rPr>
                <w:rFonts w:eastAsia="Calibri"/>
                <w:sz w:val="17"/>
                <w:szCs w:val="17"/>
              </w:rPr>
              <w:t xml:space="preserve"> aligned with PR2</w:t>
            </w:r>
            <w:r w:rsidRPr="00B53926">
              <w:rPr>
                <w:rFonts w:eastAsia="Calibri"/>
                <w:sz w:val="17"/>
                <w:szCs w:val="17"/>
              </w:rPr>
              <w:t xml:space="preserve">. </w:t>
            </w:r>
          </w:p>
          <w:p w14:paraId="35C9B15D" w14:textId="77777777" w:rsidR="005B2153" w:rsidRPr="00B53926" w:rsidRDefault="005B2153" w:rsidP="005B2153">
            <w:pPr>
              <w:jc w:val="left"/>
              <w:rPr>
                <w:rFonts w:eastAsia="Calibri"/>
                <w:sz w:val="17"/>
                <w:szCs w:val="17"/>
              </w:rPr>
            </w:pPr>
          </w:p>
          <w:p w14:paraId="15A60F95" w14:textId="00470685" w:rsidR="005B2153" w:rsidRPr="00B53926" w:rsidRDefault="00886F2A" w:rsidP="005B2153">
            <w:pPr>
              <w:jc w:val="left"/>
              <w:rPr>
                <w:rFonts w:eastAsia="Calibri"/>
                <w:sz w:val="17"/>
                <w:szCs w:val="17"/>
              </w:rPr>
            </w:pPr>
            <w:r>
              <w:rPr>
                <w:rFonts w:eastAsia="Calibri"/>
                <w:sz w:val="17"/>
                <w:szCs w:val="17"/>
              </w:rPr>
              <w:t>The HR Policy should instruct the CEM</w:t>
            </w:r>
            <w:r w:rsidR="00161A99">
              <w:rPr>
                <w:rFonts w:eastAsia="Calibri"/>
                <w:sz w:val="17"/>
                <w:szCs w:val="17"/>
              </w:rPr>
              <w:t xml:space="preserve">P </w:t>
            </w:r>
            <w:r w:rsidR="005B2153" w:rsidRPr="00B53926">
              <w:rPr>
                <w:rFonts w:eastAsia="Calibri"/>
                <w:sz w:val="17"/>
                <w:szCs w:val="17"/>
              </w:rPr>
              <w:t>to maximise local employment</w:t>
            </w:r>
            <w:r w:rsidR="00161A99">
              <w:rPr>
                <w:rFonts w:eastAsia="Calibri"/>
                <w:sz w:val="17"/>
                <w:szCs w:val="17"/>
              </w:rPr>
              <w:t xml:space="preserve"> </w:t>
            </w:r>
            <w:r w:rsidR="005B2153" w:rsidRPr="00B53926">
              <w:rPr>
                <w:rFonts w:eastAsia="Calibri"/>
                <w:sz w:val="17"/>
                <w:szCs w:val="17"/>
              </w:rPr>
              <w:t xml:space="preserve">within the region, as far as feasible within the implementation of the project. </w:t>
            </w:r>
            <w:r w:rsidR="006F18F0">
              <w:rPr>
                <w:rFonts w:eastAsia="Calibri"/>
                <w:sz w:val="17"/>
                <w:szCs w:val="17"/>
              </w:rPr>
              <w:t xml:space="preserve">Employment of local </w:t>
            </w:r>
            <w:r w:rsidR="000C3AD0">
              <w:rPr>
                <w:rFonts w:eastAsia="Calibri"/>
                <w:sz w:val="17"/>
                <w:szCs w:val="17"/>
              </w:rPr>
              <w:t xml:space="preserve">women should also be encouraged. </w:t>
            </w:r>
            <w:r w:rsidR="005B2153" w:rsidRPr="00B53926">
              <w:rPr>
                <w:rFonts w:eastAsia="Calibri"/>
                <w:sz w:val="17"/>
                <w:szCs w:val="17"/>
              </w:rPr>
              <w:t xml:space="preserve"> </w:t>
            </w:r>
          </w:p>
          <w:p w14:paraId="1EB095F5" w14:textId="77777777" w:rsidR="005B2153" w:rsidRPr="00B53926" w:rsidRDefault="005B2153" w:rsidP="005B2153">
            <w:pPr>
              <w:jc w:val="left"/>
              <w:rPr>
                <w:rFonts w:eastAsia="Calibri"/>
                <w:sz w:val="17"/>
                <w:szCs w:val="17"/>
              </w:rPr>
            </w:pPr>
          </w:p>
          <w:p w14:paraId="77758EC6" w14:textId="3C445104" w:rsidR="005B2153" w:rsidRPr="008D56F2" w:rsidRDefault="00685EB7" w:rsidP="005B2153">
            <w:pPr>
              <w:jc w:val="left"/>
              <w:rPr>
                <w:rFonts w:eastAsia="Calibri"/>
                <w:sz w:val="17"/>
                <w:szCs w:val="17"/>
              </w:rPr>
            </w:pPr>
            <w:r>
              <w:rPr>
                <w:rFonts w:eastAsia="Calibri"/>
                <w:sz w:val="17"/>
                <w:szCs w:val="17"/>
              </w:rPr>
              <w:t xml:space="preserve">The </w:t>
            </w:r>
            <w:r w:rsidR="00AB2602">
              <w:rPr>
                <w:rFonts w:eastAsia="Calibri"/>
                <w:sz w:val="17"/>
                <w:szCs w:val="17"/>
              </w:rPr>
              <w:t xml:space="preserve">Project </w:t>
            </w:r>
            <w:r>
              <w:rPr>
                <w:rFonts w:eastAsia="Calibri"/>
                <w:sz w:val="17"/>
                <w:szCs w:val="17"/>
              </w:rPr>
              <w:t>HR Policy must i</w:t>
            </w:r>
            <w:r w:rsidR="005B2153" w:rsidRPr="00B53926">
              <w:rPr>
                <w:rFonts w:eastAsia="Calibri"/>
                <w:sz w:val="17"/>
                <w:szCs w:val="17"/>
              </w:rPr>
              <w:t>nclude statements on non-discimirnation, workers organisations, workers rights and non-employee workers.</w:t>
            </w:r>
          </w:p>
        </w:tc>
        <w:tc>
          <w:tcPr>
            <w:tcW w:w="1700" w:type="dxa"/>
          </w:tcPr>
          <w:p w14:paraId="73F339AA" w14:textId="77777777" w:rsidR="005B2153" w:rsidRPr="008D56F2" w:rsidRDefault="005B2153" w:rsidP="005B2153">
            <w:pPr>
              <w:jc w:val="left"/>
              <w:rPr>
                <w:rFonts w:eastAsia="Calibri"/>
                <w:sz w:val="17"/>
                <w:szCs w:val="17"/>
              </w:rPr>
            </w:pPr>
            <w:r w:rsidRPr="008D56F2">
              <w:rPr>
                <w:rFonts w:eastAsia="Calibri"/>
                <w:sz w:val="17"/>
                <w:szCs w:val="17"/>
              </w:rPr>
              <w:t>Ensure workers’ rights and residents are protected.</w:t>
            </w:r>
          </w:p>
        </w:tc>
        <w:tc>
          <w:tcPr>
            <w:tcW w:w="2268" w:type="dxa"/>
          </w:tcPr>
          <w:p w14:paraId="54F812C9" w14:textId="77777777" w:rsidR="0096009D" w:rsidRPr="008D56F2" w:rsidRDefault="0096009D" w:rsidP="005B2153">
            <w:pPr>
              <w:jc w:val="left"/>
              <w:rPr>
                <w:rFonts w:eastAsia="Calibri"/>
                <w:sz w:val="17"/>
                <w:szCs w:val="17"/>
              </w:rPr>
            </w:pPr>
            <w:r w:rsidRPr="008D56F2">
              <w:rPr>
                <w:rFonts w:eastAsia="Calibri"/>
                <w:sz w:val="17"/>
                <w:szCs w:val="17"/>
              </w:rPr>
              <w:t>EBRD PR2</w:t>
            </w:r>
          </w:p>
          <w:p w14:paraId="4BF595BD" w14:textId="77777777" w:rsidR="005B2153" w:rsidRPr="008D56F2" w:rsidRDefault="005B2153" w:rsidP="005B2153">
            <w:pPr>
              <w:jc w:val="left"/>
              <w:rPr>
                <w:rFonts w:eastAsia="Calibri"/>
                <w:sz w:val="17"/>
                <w:szCs w:val="17"/>
              </w:rPr>
            </w:pPr>
            <w:r w:rsidRPr="008D56F2">
              <w:rPr>
                <w:rFonts w:eastAsia="Calibri"/>
                <w:sz w:val="17"/>
                <w:szCs w:val="17"/>
              </w:rPr>
              <w:t xml:space="preserve">Serbian Labour Law </w:t>
            </w:r>
          </w:p>
        </w:tc>
        <w:tc>
          <w:tcPr>
            <w:tcW w:w="1984" w:type="dxa"/>
          </w:tcPr>
          <w:p w14:paraId="277E6301" w14:textId="77777777" w:rsidR="005B2153" w:rsidRPr="008D56F2" w:rsidRDefault="005B2153" w:rsidP="005B2153">
            <w:pPr>
              <w:suppressAutoHyphens/>
              <w:jc w:val="left"/>
              <w:rPr>
                <w:rFonts w:eastAsia="Calibri"/>
                <w:sz w:val="17"/>
                <w:szCs w:val="17"/>
              </w:rPr>
            </w:pPr>
            <w:r w:rsidRPr="008D56F2">
              <w:rPr>
                <w:rFonts w:eastAsia="Calibri"/>
                <w:sz w:val="17"/>
                <w:szCs w:val="17"/>
              </w:rPr>
              <w:t>Own resources and /or external consultants (cost dependent on extent of support)</w:t>
            </w:r>
          </w:p>
        </w:tc>
        <w:tc>
          <w:tcPr>
            <w:tcW w:w="1560" w:type="dxa"/>
          </w:tcPr>
          <w:p w14:paraId="36A8F40E" w14:textId="77777777" w:rsidR="005B2153" w:rsidRPr="008D56F2" w:rsidRDefault="005B2153" w:rsidP="005B2153">
            <w:pPr>
              <w:jc w:val="left"/>
              <w:rPr>
                <w:rFonts w:eastAsia="Calibri"/>
                <w:sz w:val="17"/>
                <w:szCs w:val="17"/>
              </w:rPr>
            </w:pPr>
            <w:r w:rsidRPr="008D56F2">
              <w:rPr>
                <w:rFonts w:eastAsia="Calibri"/>
                <w:sz w:val="17"/>
                <w:szCs w:val="17"/>
              </w:rPr>
              <w:t>Prior to construction and hiring of contractors</w:t>
            </w:r>
          </w:p>
        </w:tc>
        <w:tc>
          <w:tcPr>
            <w:tcW w:w="1882" w:type="dxa"/>
          </w:tcPr>
          <w:p w14:paraId="75F71FCB" w14:textId="6ED60066" w:rsidR="005B2153" w:rsidRDefault="005B2153" w:rsidP="005B2153">
            <w:pPr>
              <w:jc w:val="left"/>
              <w:rPr>
                <w:rFonts w:eastAsia="Calibri"/>
                <w:sz w:val="17"/>
                <w:szCs w:val="17"/>
              </w:rPr>
            </w:pPr>
            <w:r w:rsidRPr="008D56F2">
              <w:rPr>
                <w:rFonts w:eastAsia="Calibri"/>
                <w:sz w:val="17"/>
                <w:szCs w:val="17"/>
              </w:rPr>
              <w:t xml:space="preserve">A </w:t>
            </w:r>
            <w:r w:rsidR="00AB2602">
              <w:rPr>
                <w:rFonts w:eastAsia="Calibri"/>
                <w:sz w:val="17"/>
                <w:szCs w:val="17"/>
              </w:rPr>
              <w:t xml:space="preserve">Project-specific </w:t>
            </w:r>
            <w:r w:rsidRPr="008D56F2">
              <w:rPr>
                <w:rFonts w:eastAsia="Calibri"/>
                <w:sz w:val="17"/>
                <w:szCs w:val="17"/>
              </w:rPr>
              <w:t>HR policy that is aligned to Serbian legislation and EBRD PR2, which covers direct employees and sub-contractors, and maximises the use of local labour.</w:t>
            </w:r>
          </w:p>
          <w:p w14:paraId="0AA79CFF" w14:textId="1A4E19DC" w:rsidR="00AB2602" w:rsidRPr="008D56F2" w:rsidRDefault="00AB2602" w:rsidP="005B2153">
            <w:pPr>
              <w:jc w:val="left"/>
              <w:rPr>
                <w:rFonts w:eastAsia="Calibri"/>
                <w:sz w:val="17"/>
                <w:szCs w:val="17"/>
              </w:rPr>
            </w:pPr>
            <w:r>
              <w:rPr>
                <w:sz w:val="17"/>
                <w:szCs w:val="17"/>
              </w:rPr>
              <w:t>Contractor must also comply with this Project-specific HR Policy as part of their contract.</w:t>
            </w:r>
          </w:p>
        </w:tc>
        <w:tc>
          <w:tcPr>
            <w:tcW w:w="1715" w:type="dxa"/>
          </w:tcPr>
          <w:p w14:paraId="5B3EA94B" w14:textId="4EE9B827" w:rsidR="005B2153" w:rsidRPr="008D56F2" w:rsidRDefault="005B2153" w:rsidP="005B2153">
            <w:pPr>
              <w:jc w:val="left"/>
              <w:rPr>
                <w:sz w:val="17"/>
                <w:szCs w:val="17"/>
              </w:rPr>
            </w:pPr>
          </w:p>
        </w:tc>
      </w:tr>
      <w:tr w:rsidR="005B2153" w:rsidRPr="00A14FB6" w14:paraId="47D0B393" w14:textId="77777777" w:rsidTr="005B2153">
        <w:trPr>
          <w:gridAfter w:val="1"/>
          <w:wAfter w:w="64" w:type="dxa"/>
          <w:trHeight w:val="654"/>
        </w:trPr>
        <w:tc>
          <w:tcPr>
            <w:tcW w:w="467" w:type="dxa"/>
          </w:tcPr>
          <w:p w14:paraId="05D8B6A8" w14:textId="77777777" w:rsidR="005B2153" w:rsidRPr="00B86389" w:rsidRDefault="005B2153" w:rsidP="005B2153">
            <w:pPr>
              <w:rPr>
                <w:sz w:val="17"/>
                <w:szCs w:val="17"/>
              </w:rPr>
            </w:pPr>
            <w:r w:rsidRPr="00A14FB6">
              <w:rPr>
                <w:sz w:val="17"/>
                <w:szCs w:val="17"/>
              </w:rPr>
              <w:t>2.2</w:t>
            </w:r>
          </w:p>
        </w:tc>
        <w:tc>
          <w:tcPr>
            <w:tcW w:w="3215" w:type="dxa"/>
          </w:tcPr>
          <w:p w14:paraId="641B0A55" w14:textId="77777777" w:rsidR="005B2153" w:rsidRDefault="005B2153" w:rsidP="005B2153">
            <w:pPr>
              <w:jc w:val="left"/>
              <w:rPr>
                <w:rFonts w:eastAsia="Calibri"/>
                <w:sz w:val="17"/>
                <w:szCs w:val="17"/>
              </w:rPr>
            </w:pPr>
            <w:r w:rsidRPr="00B53926">
              <w:rPr>
                <w:rFonts w:eastAsia="Calibri"/>
                <w:sz w:val="17"/>
                <w:szCs w:val="17"/>
              </w:rPr>
              <w:t>Obtain and review contractors policy on imposition of financial penalties on employees as part of any disciplinary measures. The policy should be fair and avoid indebted status or hardship, and an appeal system should be in place.</w:t>
            </w:r>
          </w:p>
          <w:p w14:paraId="461833B9" w14:textId="77777777" w:rsidR="000C3AD0" w:rsidRDefault="000C3AD0" w:rsidP="005B2153">
            <w:pPr>
              <w:jc w:val="left"/>
              <w:rPr>
                <w:rFonts w:eastAsia="Calibri"/>
                <w:sz w:val="17"/>
                <w:szCs w:val="17"/>
              </w:rPr>
            </w:pPr>
          </w:p>
          <w:p w14:paraId="65E40613" w14:textId="2FE025BC" w:rsidR="000C3AD0" w:rsidRPr="00B53926" w:rsidRDefault="000C3AD0" w:rsidP="005B2153">
            <w:pPr>
              <w:jc w:val="left"/>
              <w:rPr>
                <w:rFonts w:eastAsia="Calibri"/>
                <w:sz w:val="17"/>
                <w:szCs w:val="17"/>
              </w:rPr>
            </w:pPr>
            <w:r>
              <w:rPr>
                <w:rFonts w:eastAsia="Calibri"/>
                <w:sz w:val="17"/>
                <w:szCs w:val="17"/>
              </w:rPr>
              <w:t xml:space="preserve">Ensure CEMP includes a grievance mechanism for contractor workers. </w:t>
            </w:r>
          </w:p>
        </w:tc>
        <w:tc>
          <w:tcPr>
            <w:tcW w:w="1700" w:type="dxa"/>
          </w:tcPr>
          <w:p w14:paraId="77C9E5D5" w14:textId="77777777" w:rsidR="005B2153" w:rsidRPr="008D56F2" w:rsidRDefault="005B2153" w:rsidP="005B2153">
            <w:pPr>
              <w:jc w:val="left"/>
              <w:rPr>
                <w:rFonts w:eastAsia="Calibri"/>
                <w:sz w:val="17"/>
                <w:szCs w:val="17"/>
              </w:rPr>
            </w:pPr>
            <w:r w:rsidRPr="008D56F2">
              <w:rPr>
                <w:rFonts w:eastAsia="Calibri"/>
                <w:sz w:val="17"/>
                <w:szCs w:val="17"/>
              </w:rPr>
              <w:t xml:space="preserve">Reputation risk, potential risk of labour standards breaches. </w:t>
            </w:r>
          </w:p>
        </w:tc>
        <w:tc>
          <w:tcPr>
            <w:tcW w:w="2268" w:type="dxa"/>
          </w:tcPr>
          <w:p w14:paraId="178321E7" w14:textId="77777777" w:rsidR="005B2153" w:rsidRPr="008D56F2" w:rsidRDefault="0096009D" w:rsidP="005B2153">
            <w:pPr>
              <w:jc w:val="left"/>
              <w:rPr>
                <w:rFonts w:eastAsia="Calibri"/>
                <w:sz w:val="17"/>
                <w:szCs w:val="17"/>
              </w:rPr>
            </w:pPr>
            <w:r w:rsidRPr="008D56F2">
              <w:rPr>
                <w:rFonts w:eastAsia="Calibri"/>
                <w:sz w:val="17"/>
                <w:szCs w:val="17"/>
              </w:rPr>
              <w:t>EBRD PR2</w:t>
            </w:r>
          </w:p>
        </w:tc>
        <w:tc>
          <w:tcPr>
            <w:tcW w:w="1984" w:type="dxa"/>
          </w:tcPr>
          <w:p w14:paraId="1CB868C5" w14:textId="77777777" w:rsidR="005B2153" w:rsidRPr="008D56F2" w:rsidRDefault="005B2153" w:rsidP="005B2153">
            <w:pPr>
              <w:suppressAutoHyphens/>
              <w:jc w:val="left"/>
              <w:rPr>
                <w:rFonts w:eastAsia="Calibri"/>
                <w:sz w:val="17"/>
                <w:szCs w:val="17"/>
              </w:rPr>
            </w:pPr>
            <w:r w:rsidRPr="008D56F2">
              <w:rPr>
                <w:rFonts w:eastAsia="Calibri"/>
                <w:sz w:val="17"/>
                <w:szCs w:val="17"/>
              </w:rPr>
              <w:t>Own resources only</w:t>
            </w:r>
          </w:p>
        </w:tc>
        <w:tc>
          <w:tcPr>
            <w:tcW w:w="1560" w:type="dxa"/>
          </w:tcPr>
          <w:p w14:paraId="69981CD7" w14:textId="77777777" w:rsidR="005B2153" w:rsidRPr="008D56F2" w:rsidRDefault="005B2153" w:rsidP="005B2153">
            <w:pPr>
              <w:jc w:val="left"/>
              <w:rPr>
                <w:rFonts w:eastAsia="Calibri"/>
                <w:sz w:val="17"/>
                <w:szCs w:val="17"/>
              </w:rPr>
            </w:pPr>
            <w:r w:rsidRPr="008D56F2">
              <w:rPr>
                <w:rFonts w:eastAsia="Calibri"/>
                <w:sz w:val="17"/>
                <w:szCs w:val="17"/>
              </w:rPr>
              <w:t>Prior to construction commence / part of contractor evaluation.</w:t>
            </w:r>
          </w:p>
        </w:tc>
        <w:tc>
          <w:tcPr>
            <w:tcW w:w="1882" w:type="dxa"/>
          </w:tcPr>
          <w:p w14:paraId="0B9744B1" w14:textId="652A7EFC" w:rsidR="005B2153" w:rsidRPr="008D56F2" w:rsidRDefault="005B2153" w:rsidP="00AB2602">
            <w:pPr>
              <w:jc w:val="left"/>
              <w:rPr>
                <w:rFonts w:eastAsia="Calibri"/>
                <w:sz w:val="17"/>
                <w:szCs w:val="17"/>
              </w:rPr>
            </w:pPr>
            <w:r w:rsidRPr="008D56F2">
              <w:rPr>
                <w:rFonts w:eastAsia="Calibri"/>
                <w:sz w:val="17"/>
                <w:szCs w:val="17"/>
              </w:rPr>
              <w:t>Contractor policy on imposition of financial penalties and appeal system</w:t>
            </w:r>
            <w:r w:rsidR="000C3AD0">
              <w:rPr>
                <w:rFonts w:eastAsia="Calibri"/>
                <w:sz w:val="17"/>
                <w:szCs w:val="17"/>
              </w:rPr>
              <w:t>. All contractor employee co</w:t>
            </w:r>
            <w:r w:rsidR="00AB2602">
              <w:rPr>
                <w:rFonts w:eastAsia="Calibri"/>
                <w:sz w:val="17"/>
                <w:szCs w:val="17"/>
              </w:rPr>
              <w:t>ml</w:t>
            </w:r>
            <w:r w:rsidR="000C3AD0">
              <w:rPr>
                <w:rFonts w:eastAsia="Calibri"/>
                <w:sz w:val="17"/>
                <w:szCs w:val="17"/>
              </w:rPr>
              <w:t>paints logged and resovled using a contractor grie</w:t>
            </w:r>
            <w:r w:rsidR="00AB2602">
              <w:rPr>
                <w:rFonts w:eastAsia="Calibri"/>
                <w:sz w:val="17"/>
                <w:szCs w:val="17"/>
              </w:rPr>
              <w:t>vance</w:t>
            </w:r>
            <w:r w:rsidR="000C3AD0">
              <w:rPr>
                <w:rFonts w:eastAsia="Calibri"/>
                <w:sz w:val="17"/>
                <w:szCs w:val="17"/>
              </w:rPr>
              <w:t xml:space="preserve"> mechanism presented in the </w:t>
            </w:r>
            <w:r w:rsidR="000C3AD0">
              <w:rPr>
                <w:rFonts w:eastAsia="Calibri"/>
                <w:sz w:val="17"/>
                <w:szCs w:val="17"/>
              </w:rPr>
              <w:lastRenderedPageBreak/>
              <w:t>CEMP.</w:t>
            </w:r>
          </w:p>
        </w:tc>
        <w:tc>
          <w:tcPr>
            <w:tcW w:w="1715" w:type="dxa"/>
          </w:tcPr>
          <w:p w14:paraId="4532F2F2" w14:textId="77777777" w:rsidR="005B2153" w:rsidRPr="008D56F2" w:rsidRDefault="005B2153" w:rsidP="005B2153">
            <w:pPr>
              <w:jc w:val="left"/>
              <w:rPr>
                <w:rFonts w:eastAsia="Calibri"/>
                <w:sz w:val="17"/>
                <w:szCs w:val="17"/>
              </w:rPr>
            </w:pPr>
          </w:p>
          <w:p w14:paraId="4E9F140A" w14:textId="77777777" w:rsidR="005B2153" w:rsidRPr="008D56F2" w:rsidRDefault="005B2153" w:rsidP="005B2153">
            <w:pPr>
              <w:jc w:val="left"/>
              <w:rPr>
                <w:sz w:val="17"/>
                <w:szCs w:val="17"/>
              </w:rPr>
            </w:pPr>
          </w:p>
        </w:tc>
      </w:tr>
      <w:tr w:rsidR="005B2153" w:rsidRPr="00A14FB6" w14:paraId="4BF85FBE" w14:textId="77777777" w:rsidTr="005B2153">
        <w:trPr>
          <w:gridAfter w:val="1"/>
          <w:wAfter w:w="64" w:type="dxa"/>
          <w:trHeight w:val="654"/>
        </w:trPr>
        <w:tc>
          <w:tcPr>
            <w:tcW w:w="467" w:type="dxa"/>
          </w:tcPr>
          <w:p w14:paraId="2C85F67B" w14:textId="77777777" w:rsidR="005B2153" w:rsidRPr="00B86389" w:rsidRDefault="005B2153" w:rsidP="005B2153">
            <w:pPr>
              <w:rPr>
                <w:sz w:val="17"/>
                <w:szCs w:val="17"/>
              </w:rPr>
            </w:pPr>
            <w:r w:rsidRPr="00A14FB6">
              <w:rPr>
                <w:sz w:val="17"/>
                <w:szCs w:val="17"/>
              </w:rPr>
              <w:lastRenderedPageBreak/>
              <w:t>2.3</w:t>
            </w:r>
          </w:p>
        </w:tc>
        <w:tc>
          <w:tcPr>
            <w:tcW w:w="3215" w:type="dxa"/>
          </w:tcPr>
          <w:p w14:paraId="2A4D8BA0" w14:textId="77777777" w:rsidR="005B2153" w:rsidRPr="00B53926" w:rsidRDefault="005B2153" w:rsidP="005B2153">
            <w:pPr>
              <w:jc w:val="left"/>
              <w:rPr>
                <w:rFonts w:eastAsia="Calibri"/>
                <w:sz w:val="17"/>
                <w:szCs w:val="17"/>
              </w:rPr>
            </w:pPr>
            <w:r w:rsidRPr="00B53926">
              <w:rPr>
                <w:rFonts w:eastAsia="Calibri"/>
                <w:sz w:val="17"/>
                <w:szCs w:val="17"/>
              </w:rPr>
              <w:t xml:space="preserve">For equipment purchased for the Project, undertake checks on the potential risk of child labour and forced labour having been used prior to purchase </w:t>
            </w:r>
          </w:p>
        </w:tc>
        <w:tc>
          <w:tcPr>
            <w:tcW w:w="1700" w:type="dxa"/>
          </w:tcPr>
          <w:p w14:paraId="7BF242C7" w14:textId="77777777" w:rsidR="005B2153" w:rsidRPr="008D56F2" w:rsidRDefault="005B2153" w:rsidP="005B2153">
            <w:pPr>
              <w:jc w:val="left"/>
              <w:rPr>
                <w:rFonts w:eastAsia="Calibri"/>
                <w:sz w:val="17"/>
                <w:szCs w:val="17"/>
              </w:rPr>
            </w:pPr>
            <w:r w:rsidRPr="008D56F2">
              <w:rPr>
                <w:rFonts w:eastAsia="Calibri"/>
                <w:sz w:val="17"/>
                <w:szCs w:val="17"/>
              </w:rPr>
              <w:t xml:space="preserve">Ensure workers’ rights and residents are protected in the supply chain. </w:t>
            </w:r>
          </w:p>
        </w:tc>
        <w:tc>
          <w:tcPr>
            <w:tcW w:w="2268" w:type="dxa"/>
          </w:tcPr>
          <w:p w14:paraId="17F8BB57" w14:textId="77777777" w:rsidR="005B2153" w:rsidRPr="008D56F2" w:rsidRDefault="0096009D" w:rsidP="005B2153">
            <w:pPr>
              <w:jc w:val="left"/>
              <w:rPr>
                <w:rFonts w:eastAsia="Calibri"/>
                <w:sz w:val="17"/>
                <w:szCs w:val="17"/>
              </w:rPr>
            </w:pPr>
            <w:r w:rsidRPr="008D56F2">
              <w:rPr>
                <w:rFonts w:eastAsia="Calibri"/>
                <w:sz w:val="17"/>
                <w:szCs w:val="17"/>
              </w:rPr>
              <w:t>EBRD PR2</w:t>
            </w:r>
          </w:p>
        </w:tc>
        <w:tc>
          <w:tcPr>
            <w:tcW w:w="1984" w:type="dxa"/>
          </w:tcPr>
          <w:p w14:paraId="3C37B393" w14:textId="77777777" w:rsidR="005B2153" w:rsidRPr="008D56F2" w:rsidRDefault="005B2153" w:rsidP="005B2153">
            <w:pPr>
              <w:suppressAutoHyphens/>
              <w:jc w:val="left"/>
              <w:rPr>
                <w:rFonts w:eastAsia="Calibri"/>
                <w:sz w:val="17"/>
                <w:szCs w:val="17"/>
              </w:rPr>
            </w:pPr>
            <w:r w:rsidRPr="008D56F2">
              <w:rPr>
                <w:rFonts w:eastAsia="Calibri"/>
                <w:sz w:val="17"/>
                <w:szCs w:val="17"/>
              </w:rPr>
              <w:t>Own resources only</w:t>
            </w:r>
          </w:p>
        </w:tc>
        <w:tc>
          <w:tcPr>
            <w:tcW w:w="1560" w:type="dxa"/>
          </w:tcPr>
          <w:p w14:paraId="3FF0E65E" w14:textId="77777777" w:rsidR="005B2153" w:rsidRPr="008D56F2" w:rsidRDefault="005B2153" w:rsidP="005B2153">
            <w:pPr>
              <w:jc w:val="left"/>
              <w:rPr>
                <w:rFonts w:eastAsia="Calibri"/>
                <w:sz w:val="17"/>
                <w:szCs w:val="17"/>
              </w:rPr>
            </w:pPr>
            <w:r w:rsidRPr="008D56F2">
              <w:rPr>
                <w:rFonts w:eastAsia="Calibri"/>
                <w:sz w:val="17"/>
                <w:szCs w:val="17"/>
              </w:rPr>
              <w:t xml:space="preserve">Prior to construction and purchasing of Project equipment and materials. </w:t>
            </w:r>
          </w:p>
        </w:tc>
        <w:tc>
          <w:tcPr>
            <w:tcW w:w="1882" w:type="dxa"/>
          </w:tcPr>
          <w:p w14:paraId="17C2876E" w14:textId="77777777" w:rsidR="005B2153" w:rsidRPr="008D56F2" w:rsidRDefault="005B2153" w:rsidP="005B2153">
            <w:pPr>
              <w:jc w:val="left"/>
              <w:rPr>
                <w:rFonts w:eastAsia="Calibri"/>
                <w:sz w:val="17"/>
                <w:szCs w:val="17"/>
              </w:rPr>
            </w:pPr>
            <w:r w:rsidRPr="008D56F2">
              <w:rPr>
                <w:rFonts w:eastAsia="Calibri"/>
                <w:sz w:val="17"/>
                <w:szCs w:val="17"/>
              </w:rPr>
              <w:t xml:space="preserve">Statements, policies and certificates provided from suppliers on their commitment to ensuring workers rights and hiring suitable employees (e.g. HR policy and audit results). </w:t>
            </w:r>
          </w:p>
        </w:tc>
        <w:tc>
          <w:tcPr>
            <w:tcW w:w="1715" w:type="dxa"/>
          </w:tcPr>
          <w:p w14:paraId="1CD2544A" w14:textId="49EBE77E" w:rsidR="005B2153" w:rsidRPr="008D56F2" w:rsidRDefault="005B2153" w:rsidP="005B2153">
            <w:pPr>
              <w:jc w:val="left"/>
              <w:rPr>
                <w:sz w:val="17"/>
                <w:szCs w:val="17"/>
              </w:rPr>
            </w:pPr>
            <w:r w:rsidRPr="008D56F2">
              <w:rPr>
                <w:rFonts w:eastAsia="Calibri"/>
                <w:sz w:val="17"/>
                <w:szCs w:val="17"/>
              </w:rPr>
              <w:t xml:space="preserve">. </w:t>
            </w:r>
          </w:p>
        </w:tc>
      </w:tr>
      <w:tr w:rsidR="005B2153" w:rsidRPr="00A14FB6" w14:paraId="0017F5BF" w14:textId="77777777" w:rsidTr="005B2153">
        <w:trPr>
          <w:gridAfter w:val="1"/>
          <w:wAfter w:w="64" w:type="dxa"/>
          <w:trHeight w:val="471"/>
        </w:trPr>
        <w:tc>
          <w:tcPr>
            <w:tcW w:w="14791" w:type="dxa"/>
            <w:gridSpan w:val="8"/>
            <w:vAlign w:val="center"/>
          </w:tcPr>
          <w:p w14:paraId="127DD318" w14:textId="77777777" w:rsidR="005B2153" w:rsidRPr="008D56F2" w:rsidRDefault="005B2153" w:rsidP="005B2153">
            <w:pPr>
              <w:jc w:val="left"/>
              <w:rPr>
                <w:sz w:val="17"/>
                <w:szCs w:val="17"/>
              </w:rPr>
            </w:pPr>
            <w:r w:rsidRPr="008D56F2">
              <w:rPr>
                <w:b/>
                <w:i/>
                <w:sz w:val="17"/>
                <w:szCs w:val="17"/>
              </w:rPr>
              <w:t>PR 3: Resource Efficiency and Pollution Prevention and Control</w:t>
            </w:r>
          </w:p>
        </w:tc>
      </w:tr>
      <w:tr w:rsidR="005B2153" w:rsidRPr="00A14FB6" w14:paraId="30CD885E" w14:textId="77777777" w:rsidTr="005B2153">
        <w:trPr>
          <w:gridAfter w:val="1"/>
          <w:wAfter w:w="64" w:type="dxa"/>
          <w:trHeight w:val="654"/>
        </w:trPr>
        <w:tc>
          <w:tcPr>
            <w:tcW w:w="467" w:type="dxa"/>
          </w:tcPr>
          <w:p w14:paraId="323B5271" w14:textId="77777777" w:rsidR="005B2153" w:rsidRPr="00B86389" w:rsidRDefault="005B2153" w:rsidP="005B2153">
            <w:pPr>
              <w:rPr>
                <w:sz w:val="17"/>
                <w:szCs w:val="17"/>
              </w:rPr>
            </w:pPr>
            <w:r w:rsidRPr="00A14FB6">
              <w:rPr>
                <w:sz w:val="17"/>
                <w:szCs w:val="17"/>
              </w:rPr>
              <w:t>3.1</w:t>
            </w:r>
          </w:p>
        </w:tc>
        <w:tc>
          <w:tcPr>
            <w:tcW w:w="3215" w:type="dxa"/>
          </w:tcPr>
          <w:p w14:paraId="28D6796B" w14:textId="77777777" w:rsidR="005B2153" w:rsidRPr="008D56F2" w:rsidRDefault="005B2153" w:rsidP="005B2153">
            <w:pPr>
              <w:jc w:val="left"/>
              <w:rPr>
                <w:rFonts w:eastAsia="Calibri"/>
                <w:sz w:val="17"/>
                <w:szCs w:val="17"/>
              </w:rPr>
            </w:pPr>
            <w:r w:rsidRPr="00B53926">
              <w:rPr>
                <w:sz w:val="17"/>
                <w:szCs w:val="17"/>
              </w:rPr>
              <w:t>Control dust emissions and wastewater during construction period</w:t>
            </w:r>
          </w:p>
        </w:tc>
        <w:tc>
          <w:tcPr>
            <w:tcW w:w="1700" w:type="dxa"/>
          </w:tcPr>
          <w:p w14:paraId="46FCC01C" w14:textId="77777777" w:rsidR="005B2153" w:rsidRPr="008D56F2" w:rsidRDefault="005B2153" w:rsidP="005B2153">
            <w:pPr>
              <w:jc w:val="left"/>
              <w:rPr>
                <w:rFonts w:eastAsia="Calibri"/>
                <w:sz w:val="17"/>
                <w:szCs w:val="17"/>
              </w:rPr>
            </w:pPr>
            <w:r w:rsidRPr="008D56F2">
              <w:rPr>
                <w:sz w:val="17"/>
                <w:szCs w:val="17"/>
              </w:rPr>
              <w:t xml:space="preserve">Minimise the risk of air pollution </w:t>
            </w:r>
          </w:p>
        </w:tc>
        <w:tc>
          <w:tcPr>
            <w:tcW w:w="2268" w:type="dxa"/>
          </w:tcPr>
          <w:p w14:paraId="6962BB86" w14:textId="77777777" w:rsidR="005B2153" w:rsidRPr="008D56F2" w:rsidRDefault="0096009D" w:rsidP="005B2153">
            <w:pPr>
              <w:jc w:val="left"/>
              <w:rPr>
                <w:rFonts w:eastAsia="Calibri"/>
                <w:sz w:val="17"/>
                <w:szCs w:val="17"/>
              </w:rPr>
            </w:pPr>
            <w:r w:rsidRPr="008D56F2">
              <w:rPr>
                <w:rFonts w:eastAsia="Calibri"/>
                <w:sz w:val="17"/>
                <w:szCs w:val="17"/>
              </w:rPr>
              <w:t>EBRD PR3</w:t>
            </w:r>
          </w:p>
        </w:tc>
        <w:tc>
          <w:tcPr>
            <w:tcW w:w="1984" w:type="dxa"/>
          </w:tcPr>
          <w:p w14:paraId="0BC0FD38" w14:textId="77777777" w:rsidR="005B2153" w:rsidRPr="008D56F2" w:rsidRDefault="005B2153" w:rsidP="005B2153">
            <w:pPr>
              <w:suppressAutoHyphens/>
              <w:jc w:val="left"/>
              <w:rPr>
                <w:rFonts w:eastAsia="Calibri"/>
                <w:sz w:val="17"/>
                <w:szCs w:val="17"/>
              </w:rPr>
            </w:pPr>
            <w:r w:rsidRPr="008D56F2">
              <w:rPr>
                <w:sz w:val="17"/>
                <w:szCs w:val="17"/>
              </w:rPr>
              <w:t xml:space="preserve">Contractor resources, stipulated under contract </w:t>
            </w:r>
          </w:p>
        </w:tc>
        <w:tc>
          <w:tcPr>
            <w:tcW w:w="1560" w:type="dxa"/>
          </w:tcPr>
          <w:p w14:paraId="05BEF24A" w14:textId="77777777" w:rsidR="005B2153" w:rsidRPr="008D56F2" w:rsidRDefault="005B2153" w:rsidP="005B2153">
            <w:pPr>
              <w:jc w:val="left"/>
              <w:rPr>
                <w:rFonts w:eastAsia="Calibri"/>
                <w:sz w:val="17"/>
                <w:szCs w:val="17"/>
              </w:rPr>
            </w:pPr>
            <w:r w:rsidRPr="008D56F2">
              <w:rPr>
                <w:sz w:val="17"/>
                <w:szCs w:val="17"/>
              </w:rPr>
              <w:t xml:space="preserve">During construction / installation </w:t>
            </w:r>
          </w:p>
        </w:tc>
        <w:tc>
          <w:tcPr>
            <w:tcW w:w="1882" w:type="dxa"/>
          </w:tcPr>
          <w:p w14:paraId="0961A30E" w14:textId="77777777" w:rsidR="005B2153" w:rsidRPr="008D56F2" w:rsidRDefault="005B2153" w:rsidP="005B2153">
            <w:pPr>
              <w:jc w:val="left"/>
              <w:rPr>
                <w:rFonts w:eastAsia="Calibri"/>
                <w:sz w:val="17"/>
                <w:szCs w:val="17"/>
              </w:rPr>
            </w:pPr>
            <w:r w:rsidRPr="008D56F2">
              <w:rPr>
                <w:sz w:val="17"/>
                <w:szCs w:val="17"/>
              </w:rPr>
              <w:t xml:space="preserve">Dust emission and wastewater control measures included in CEMP. Supervising engineer and DH Company occupation H&amp;S specialist to monitor works in progress. </w:t>
            </w:r>
          </w:p>
        </w:tc>
        <w:tc>
          <w:tcPr>
            <w:tcW w:w="1715" w:type="dxa"/>
          </w:tcPr>
          <w:p w14:paraId="01B8FCF9" w14:textId="77777777" w:rsidR="005B2153" w:rsidRPr="008D56F2" w:rsidRDefault="005B2153" w:rsidP="005B2153">
            <w:pPr>
              <w:jc w:val="left"/>
              <w:rPr>
                <w:sz w:val="17"/>
                <w:szCs w:val="17"/>
              </w:rPr>
            </w:pPr>
          </w:p>
        </w:tc>
      </w:tr>
      <w:tr w:rsidR="005B2153" w:rsidRPr="00A14FB6" w14:paraId="5EFD74CD" w14:textId="77777777" w:rsidTr="005B2153">
        <w:trPr>
          <w:gridAfter w:val="1"/>
          <w:wAfter w:w="64" w:type="dxa"/>
          <w:trHeight w:val="654"/>
        </w:trPr>
        <w:tc>
          <w:tcPr>
            <w:tcW w:w="467" w:type="dxa"/>
          </w:tcPr>
          <w:p w14:paraId="57F5428F" w14:textId="77777777" w:rsidR="005B2153" w:rsidRPr="00B86389" w:rsidRDefault="005B2153" w:rsidP="005B2153">
            <w:pPr>
              <w:rPr>
                <w:sz w:val="17"/>
                <w:szCs w:val="17"/>
              </w:rPr>
            </w:pPr>
            <w:r w:rsidRPr="00A14FB6">
              <w:rPr>
                <w:sz w:val="17"/>
                <w:szCs w:val="17"/>
              </w:rPr>
              <w:t>3.2</w:t>
            </w:r>
          </w:p>
        </w:tc>
        <w:tc>
          <w:tcPr>
            <w:tcW w:w="3215" w:type="dxa"/>
          </w:tcPr>
          <w:p w14:paraId="06F62F81" w14:textId="1C1677FF" w:rsidR="005B2153" w:rsidRPr="000C3AD0" w:rsidRDefault="005B2153" w:rsidP="005B2153">
            <w:pPr>
              <w:jc w:val="left"/>
              <w:rPr>
                <w:sz w:val="17"/>
                <w:szCs w:val="17"/>
              </w:rPr>
            </w:pPr>
            <w:r w:rsidRPr="000C3AD0">
              <w:rPr>
                <w:sz w:val="17"/>
                <w:szCs w:val="17"/>
              </w:rPr>
              <w:t xml:space="preserve">Continue implementation of the Company’s existing Waste Management Plan. Incorporate into CEMP for this project. </w:t>
            </w:r>
          </w:p>
          <w:p w14:paraId="00D09FEF" w14:textId="77777777" w:rsidR="000C3AD0" w:rsidRPr="000C3AD0" w:rsidRDefault="000C3AD0" w:rsidP="005B2153">
            <w:pPr>
              <w:jc w:val="left"/>
              <w:rPr>
                <w:sz w:val="17"/>
                <w:szCs w:val="17"/>
              </w:rPr>
            </w:pPr>
          </w:p>
          <w:p w14:paraId="74C121AD" w14:textId="51CD0B55" w:rsidR="00AB2602" w:rsidRDefault="000C3AD0" w:rsidP="00AB2602">
            <w:pPr>
              <w:jc w:val="left"/>
              <w:rPr>
                <w:sz w:val="17"/>
                <w:szCs w:val="17"/>
              </w:rPr>
            </w:pPr>
            <w:r w:rsidRPr="00AB2602">
              <w:rPr>
                <w:sz w:val="17"/>
                <w:szCs w:val="17"/>
              </w:rPr>
              <w:t xml:space="preserve">The possible presence of Asbestos Containing Materials (ACMs) in the fabric of the buildings for refurbishment (dating back to the 1970s) also </w:t>
            </w:r>
            <w:r>
              <w:rPr>
                <w:sz w:val="17"/>
                <w:szCs w:val="17"/>
              </w:rPr>
              <w:t xml:space="preserve">cannot be discounted. </w:t>
            </w:r>
            <w:r w:rsidR="00F1626E">
              <w:rPr>
                <w:sz w:val="17"/>
                <w:szCs w:val="17"/>
              </w:rPr>
              <w:t>Prevent</w:t>
            </w:r>
            <w:r w:rsidR="00AB2602">
              <w:rPr>
                <w:sz w:val="17"/>
                <w:szCs w:val="17"/>
              </w:rPr>
              <w:t>i</w:t>
            </w:r>
            <w:r w:rsidR="00F1626E">
              <w:rPr>
                <w:sz w:val="17"/>
                <w:szCs w:val="17"/>
              </w:rPr>
              <w:t>ve measures are presented in section 4.5.</w:t>
            </w:r>
          </w:p>
          <w:p w14:paraId="77075292" w14:textId="25063C7E" w:rsidR="000C3AD0" w:rsidRPr="000C3AD0" w:rsidRDefault="00AB2602" w:rsidP="00AB2602">
            <w:pPr>
              <w:jc w:val="left"/>
              <w:rPr>
                <w:rFonts w:eastAsia="Calibri"/>
                <w:sz w:val="17"/>
                <w:szCs w:val="17"/>
              </w:rPr>
            </w:pPr>
            <w:r>
              <w:rPr>
                <w:sz w:val="17"/>
                <w:szCs w:val="17"/>
              </w:rPr>
              <w:t>T</w:t>
            </w:r>
            <w:r w:rsidRPr="00AB2602">
              <w:rPr>
                <w:sz w:val="17"/>
                <w:szCs w:val="17"/>
              </w:rPr>
              <w:t>he construction waste management shall cover the possibility to find asbestos.</w:t>
            </w:r>
          </w:p>
        </w:tc>
        <w:tc>
          <w:tcPr>
            <w:tcW w:w="1700" w:type="dxa"/>
          </w:tcPr>
          <w:p w14:paraId="6EF79715" w14:textId="77777777" w:rsidR="005B2153" w:rsidRPr="008D56F2" w:rsidRDefault="005B2153" w:rsidP="005B2153">
            <w:pPr>
              <w:jc w:val="left"/>
              <w:rPr>
                <w:rFonts w:eastAsia="Calibri"/>
                <w:sz w:val="17"/>
                <w:szCs w:val="17"/>
              </w:rPr>
            </w:pPr>
            <w:r w:rsidRPr="008D56F2">
              <w:rPr>
                <w:sz w:val="17"/>
                <w:szCs w:val="17"/>
              </w:rPr>
              <w:t xml:space="preserve">Minimise the risk of waste pollution  </w:t>
            </w:r>
          </w:p>
        </w:tc>
        <w:tc>
          <w:tcPr>
            <w:tcW w:w="2268" w:type="dxa"/>
          </w:tcPr>
          <w:p w14:paraId="2B6BFE23" w14:textId="77777777" w:rsidR="005B2153" w:rsidRPr="008D56F2" w:rsidRDefault="0096009D" w:rsidP="005B2153">
            <w:pPr>
              <w:jc w:val="left"/>
              <w:rPr>
                <w:rFonts w:eastAsia="Calibri"/>
                <w:sz w:val="17"/>
                <w:szCs w:val="17"/>
              </w:rPr>
            </w:pPr>
            <w:r w:rsidRPr="008D56F2">
              <w:rPr>
                <w:rFonts w:eastAsia="Calibri"/>
                <w:sz w:val="17"/>
                <w:szCs w:val="17"/>
              </w:rPr>
              <w:t>EBRD PR3</w:t>
            </w:r>
          </w:p>
        </w:tc>
        <w:tc>
          <w:tcPr>
            <w:tcW w:w="1984" w:type="dxa"/>
          </w:tcPr>
          <w:p w14:paraId="690141C7" w14:textId="77777777" w:rsidR="005B2153" w:rsidRPr="008D56F2" w:rsidRDefault="005B2153" w:rsidP="005B2153">
            <w:pPr>
              <w:suppressAutoHyphens/>
              <w:jc w:val="left"/>
              <w:rPr>
                <w:rFonts w:eastAsia="Calibri"/>
                <w:sz w:val="17"/>
                <w:szCs w:val="17"/>
              </w:rPr>
            </w:pPr>
            <w:r w:rsidRPr="008D56F2">
              <w:rPr>
                <w:sz w:val="17"/>
                <w:szCs w:val="17"/>
              </w:rPr>
              <w:t xml:space="preserve">Own resources and contractor resources stipulated under contract </w:t>
            </w:r>
          </w:p>
        </w:tc>
        <w:tc>
          <w:tcPr>
            <w:tcW w:w="1560" w:type="dxa"/>
          </w:tcPr>
          <w:p w14:paraId="704570EB" w14:textId="77777777" w:rsidR="005B2153" w:rsidRPr="008D56F2" w:rsidRDefault="005B2153" w:rsidP="005B2153">
            <w:pPr>
              <w:jc w:val="left"/>
              <w:rPr>
                <w:rFonts w:eastAsia="Calibri"/>
                <w:sz w:val="17"/>
                <w:szCs w:val="17"/>
              </w:rPr>
            </w:pPr>
            <w:r w:rsidRPr="008D56F2">
              <w:rPr>
                <w:sz w:val="17"/>
                <w:szCs w:val="17"/>
              </w:rPr>
              <w:t xml:space="preserve">During construction and operation </w:t>
            </w:r>
          </w:p>
        </w:tc>
        <w:tc>
          <w:tcPr>
            <w:tcW w:w="1882" w:type="dxa"/>
          </w:tcPr>
          <w:p w14:paraId="3309CA5A" w14:textId="77777777" w:rsidR="005B2153" w:rsidRPr="008D56F2" w:rsidRDefault="005B2153" w:rsidP="005B2153">
            <w:pPr>
              <w:jc w:val="left"/>
              <w:rPr>
                <w:rFonts w:eastAsia="Calibri"/>
                <w:sz w:val="17"/>
                <w:szCs w:val="17"/>
              </w:rPr>
            </w:pPr>
            <w:r w:rsidRPr="008D56F2">
              <w:rPr>
                <w:sz w:val="17"/>
                <w:szCs w:val="17"/>
              </w:rPr>
              <w:t xml:space="preserve">Waste management plan within the CEMP. </w:t>
            </w:r>
          </w:p>
        </w:tc>
        <w:tc>
          <w:tcPr>
            <w:tcW w:w="1715" w:type="dxa"/>
          </w:tcPr>
          <w:p w14:paraId="19A4B697" w14:textId="77777777" w:rsidR="005B2153" w:rsidRPr="008D56F2" w:rsidRDefault="005B2153" w:rsidP="005B2153">
            <w:pPr>
              <w:jc w:val="left"/>
              <w:rPr>
                <w:sz w:val="17"/>
                <w:szCs w:val="17"/>
              </w:rPr>
            </w:pPr>
          </w:p>
        </w:tc>
      </w:tr>
      <w:tr w:rsidR="005B2153" w:rsidRPr="00A14FB6" w14:paraId="35BAB901" w14:textId="77777777" w:rsidTr="005B2153">
        <w:trPr>
          <w:gridAfter w:val="1"/>
          <w:wAfter w:w="64" w:type="dxa"/>
          <w:trHeight w:val="471"/>
        </w:trPr>
        <w:tc>
          <w:tcPr>
            <w:tcW w:w="14791" w:type="dxa"/>
            <w:gridSpan w:val="8"/>
            <w:vAlign w:val="center"/>
          </w:tcPr>
          <w:p w14:paraId="3C76D449" w14:textId="77777777" w:rsidR="005B2153" w:rsidRPr="008D56F2" w:rsidRDefault="005B2153" w:rsidP="005B2153">
            <w:pPr>
              <w:jc w:val="left"/>
              <w:rPr>
                <w:sz w:val="17"/>
                <w:szCs w:val="17"/>
              </w:rPr>
            </w:pPr>
            <w:r w:rsidRPr="008D56F2">
              <w:rPr>
                <w:b/>
                <w:i/>
                <w:sz w:val="17"/>
                <w:szCs w:val="17"/>
              </w:rPr>
              <w:t>PR 4: Health and Safety</w:t>
            </w:r>
          </w:p>
        </w:tc>
      </w:tr>
      <w:tr w:rsidR="0096009D" w:rsidRPr="00A14FB6" w14:paraId="0042A027" w14:textId="77777777" w:rsidTr="005B2153">
        <w:trPr>
          <w:gridAfter w:val="1"/>
          <w:wAfter w:w="64" w:type="dxa"/>
          <w:trHeight w:val="654"/>
        </w:trPr>
        <w:tc>
          <w:tcPr>
            <w:tcW w:w="467" w:type="dxa"/>
          </w:tcPr>
          <w:p w14:paraId="575835F3" w14:textId="77777777" w:rsidR="0096009D" w:rsidRPr="00B86389" w:rsidRDefault="0096009D" w:rsidP="0096009D">
            <w:pPr>
              <w:rPr>
                <w:sz w:val="17"/>
                <w:szCs w:val="17"/>
              </w:rPr>
            </w:pPr>
            <w:r w:rsidRPr="00C2099C">
              <w:rPr>
                <w:sz w:val="17"/>
                <w:szCs w:val="17"/>
              </w:rPr>
              <w:lastRenderedPageBreak/>
              <w:t>4.1</w:t>
            </w:r>
          </w:p>
        </w:tc>
        <w:tc>
          <w:tcPr>
            <w:tcW w:w="3215" w:type="dxa"/>
          </w:tcPr>
          <w:p w14:paraId="6E1A9C44" w14:textId="18822788" w:rsidR="0096009D" w:rsidRPr="008D56F2" w:rsidRDefault="0096009D" w:rsidP="0096009D">
            <w:pPr>
              <w:jc w:val="left"/>
              <w:rPr>
                <w:rFonts w:eastAsia="Calibri"/>
                <w:sz w:val="17"/>
                <w:szCs w:val="17"/>
              </w:rPr>
            </w:pPr>
            <w:r w:rsidRPr="00B53926">
              <w:rPr>
                <w:sz w:val="17"/>
                <w:szCs w:val="17"/>
              </w:rPr>
              <w:t xml:space="preserve">Prepare a </w:t>
            </w:r>
            <w:r w:rsidR="00F1626E">
              <w:rPr>
                <w:sz w:val="17"/>
                <w:szCs w:val="17"/>
              </w:rPr>
              <w:t xml:space="preserve">Project-specific </w:t>
            </w:r>
            <w:r w:rsidRPr="00B53926">
              <w:rPr>
                <w:sz w:val="17"/>
                <w:szCs w:val="17"/>
              </w:rPr>
              <w:t>health and safety policy. The policy should demonstrate the DH Company’s commitment to continually improving health and safety performance. This should be communicated to all employees</w:t>
            </w:r>
            <w:r w:rsidR="00F1626E">
              <w:rPr>
                <w:sz w:val="17"/>
                <w:szCs w:val="17"/>
              </w:rPr>
              <w:t xml:space="preserve"> engaged on the Project, including contractors. </w:t>
            </w:r>
            <w:r w:rsidRPr="008D56F2">
              <w:rPr>
                <w:sz w:val="17"/>
                <w:szCs w:val="17"/>
              </w:rPr>
              <w:t xml:space="preserve"> </w:t>
            </w:r>
          </w:p>
        </w:tc>
        <w:tc>
          <w:tcPr>
            <w:tcW w:w="1700" w:type="dxa"/>
          </w:tcPr>
          <w:p w14:paraId="0DE9D99D" w14:textId="77777777" w:rsidR="0096009D" w:rsidRPr="008D56F2" w:rsidRDefault="0096009D" w:rsidP="0096009D">
            <w:pPr>
              <w:jc w:val="left"/>
              <w:rPr>
                <w:rFonts w:eastAsia="Calibri"/>
                <w:sz w:val="17"/>
                <w:szCs w:val="17"/>
              </w:rPr>
            </w:pPr>
            <w:r w:rsidRPr="008D56F2">
              <w:rPr>
                <w:sz w:val="17"/>
                <w:szCs w:val="17"/>
              </w:rPr>
              <w:t>Improved health and safety performance</w:t>
            </w:r>
          </w:p>
        </w:tc>
        <w:tc>
          <w:tcPr>
            <w:tcW w:w="2268" w:type="dxa"/>
          </w:tcPr>
          <w:p w14:paraId="5F4E07B7" w14:textId="77777777" w:rsidR="0096009D" w:rsidRPr="008D56F2" w:rsidRDefault="0096009D" w:rsidP="0096009D">
            <w:pPr>
              <w:rPr>
                <w:sz w:val="17"/>
                <w:szCs w:val="17"/>
              </w:rPr>
            </w:pPr>
            <w:r w:rsidRPr="008D56F2">
              <w:rPr>
                <w:sz w:val="17"/>
                <w:szCs w:val="17"/>
              </w:rPr>
              <w:t>ERBD PR4</w:t>
            </w:r>
          </w:p>
          <w:p w14:paraId="4F8AF3B6" w14:textId="77777777" w:rsidR="0096009D" w:rsidRPr="008D56F2" w:rsidRDefault="0096009D" w:rsidP="0096009D">
            <w:pPr>
              <w:rPr>
                <w:sz w:val="17"/>
                <w:szCs w:val="17"/>
              </w:rPr>
            </w:pPr>
            <w:r w:rsidRPr="008D56F2">
              <w:rPr>
                <w:sz w:val="17"/>
                <w:szCs w:val="17"/>
              </w:rPr>
              <w:t xml:space="preserve">ISO45001 </w:t>
            </w:r>
          </w:p>
          <w:p w14:paraId="20B46D1A" w14:textId="77777777" w:rsidR="0096009D" w:rsidRPr="008D56F2" w:rsidRDefault="0096009D" w:rsidP="0096009D">
            <w:pPr>
              <w:jc w:val="left"/>
              <w:rPr>
                <w:rFonts w:eastAsia="Calibri"/>
                <w:sz w:val="17"/>
                <w:szCs w:val="17"/>
              </w:rPr>
            </w:pPr>
            <w:r w:rsidRPr="008D56F2">
              <w:rPr>
                <w:sz w:val="17"/>
                <w:szCs w:val="17"/>
              </w:rPr>
              <w:t>Best practice</w:t>
            </w:r>
          </w:p>
        </w:tc>
        <w:tc>
          <w:tcPr>
            <w:tcW w:w="1984" w:type="dxa"/>
          </w:tcPr>
          <w:p w14:paraId="44CA4C12" w14:textId="77777777" w:rsidR="0096009D" w:rsidRPr="008D56F2" w:rsidRDefault="0096009D" w:rsidP="0096009D">
            <w:pPr>
              <w:suppressAutoHyphens/>
              <w:jc w:val="left"/>
              <w:rPr>
                <w:rFonts w:eastAsia="Calibri"/>
                <w:sz w:val="17"/>
                <w:szCs w:val="17"/>
              </w:rPr>
            </w:pPr>
            <w:r w:rsidRPr="008D56F2">
              <w:rPr>
                <w:sz w:val="17"/>
                <w:szCs w:val="17"/>
              </w:rPr>
              <w:t>Toplana-Šabac District Heating Company   Internal resource</w:t>
            </w:r>
          </w:p>
        </w:tc>
        <w:tc>
          <w:tcPr>
            <w:tcW w:w="1560" w:type="dxa"/>
          </w:tcPr>
          <w:p w14:paraId="1FD52F46" w14:textId="77777777" w:rsidR="0096009D" w:rsidRPr="008D56F2" w:rsidRDefault="00626EA4" w:rsidP="0096009D">
            <w:pPr>
              <w:jc w:val="left"/>
              <w:rPr>
                <w:rFonts w:eastAsia="Calibri"/>
                <w:sz w:val="17"/>
                <w:szCs w:val="17"/>
              </w:rPr>
            </w:pPr>
            <w:r>
              <w:rPr>
                <w:sz w:val="17"/>
                <w:szCs w:val="17"/>
              </w:rPr>
              <w:t>By December</w:t>
            </w:r>
            <w:r w:rsidR="0096009D" w:rsidRPr="008D56F2">
              <w:rPr>
                <w:sz w:val="17"/>
                <w:szCs w:val="17"/>
              </w:rPr>
              <w:t xml:space="preserve"> 2019</w:t>
            </w:r>
          </w:p>
        </w:tc>
        <w:tc>
          <w:tcPr>
            <w:tcW w:w="1882" w:type="dxa"/>
          </w:tcPr>
          <w:p w14:paraId="50835703" w14:textId="77777777" w:rsidR="0096009D" w:rsidRPr="008D56F2" w:rsidRDefault="0096009D" w:rsidP="0096009D">
            <w:pPr>
              <w:jc w:val="left"/>
              <w:rPr>
                <w:rFonts w:eastAsia="Calibri"/>
                <w:sz w:val="17"/>
                <w:szCs w:val="17"/>
              </w:rPr>
            </w:pPr>
            <w:r w:rsidRPr="008D56F2">
              <w:rPr>
                <w:sz w:val="17"/>
                <w:szCs w:val="17"/>
              </w:rPr>
              <w:t>Publicly available health and safety policy.</w:t>
            </w:r>
          </w:p>
        </w:tc>
        <w:tc>
          <w:tcPr>
            <w:tcW w:w="1715" w:type="dxa"/>
          </w:tcPr>
          <w:p w14:paraId="59ADEBF9" w14:textId="77777777" w:rsidR="0096009D" w:rsidRPr="008D56F2" w:rsidRDefault="0096009D" w:rsidP="0096009D">
            <w:pPr>
              <w:jc w:val="left"/>
              <w:rPr>
                <w:sz w:val="17"/>
                <w:szCs w:val="17"/>
              </w:rPr>
            </w:pPr>
          </w:p>
        </w:tc>
      </w:tr>
      <w:tr w:rsidR="0096009D" w:rsidRPr="00A14FB6" w14:paraId="5B02F322" w14:textId="77777777" w:rsidTr="005B2153">
        <w:trPr>
          <w:gridAfter w:val="1"/>
          <w:wAfter w:w="64" w:type="dxa"/>
          <w:trHeight w:val="654"/>
        </w:trPr>
        <w:tc>
          <w:tcPr>
            <w:tcW w:w="467" w:type="dxa"/>
          </w:tcPr>
          <w:p w14:paraId="1706B2D7" w14:textId="77777777" w:rsidR="0096009D" w:rsidRPr="00B86389" w:rsidRDefault="0096009D" w:rsidP="0096009D">
            <w:pPr>
              <w:rPr>
                <w:sz w:val="17"/>
                <w:szCs w:val="17"/>
              </w:rPr>
            </w:pPr>
            <w:r w:rsidRPr="00C2099C">
              <w:rPr>
                <w:sz w:val="17"/>
                <w:szCs w:val="17"/>
              </w:rPr>
              <w:t>4.2</w:t>
            </w:r>
          </w:p>
        </w:tc>
        <w:tc>
          <w:tcPr>
            <w:tcW w:w="3215" w:type="dxa"/>
          </w:tcPr>
          <w:p w14:paraId="77079E32" w14:textId="10E21F1E" w:rsidR="0096009D" w:rsidRPr="008D56F2" w:rsidRDefault="0096009D" w:rsidP="0096009D">
            <w:pPr>
              <w:jc w:val="left"/>
              <w:rPr>
                <w:sz w:val="17"/>
                <w:szCs w:val="17"/>
              </w:rPr>
            </w:pPr>
            <w:r w:rsidRPr="008D56F2">
              <w:rPr>
                <w:sz w:val="17"/>
                <w:szCs w:val="17"/>
              </w:rPr>
              <w:t>Expand</w:t>
            </w:r>
            <w:r w:rsidR="00F1626E">
              <w:rPr>
                <w:sz w:val="17"/>
                <w:szCs w:val="17"/>
              </w:rPr>
              <w:t xml:space="preserve"> content of</w:t>
            </w:r>
            <w:r w:rsidRPr="008D56F2">
              <w:rPr>
                <w:sz w:val="17"/>
                <w:szCs w:val="17"/>
              </w:rPr>
              <w:t xml:space="preserve"> the </w:t>
            </w:r>
            <w:r w:rsidR="00F52AD2">
              <w:rPr>
                <w:sz w:val="17"/>
                <w:szCs w:val="17"/>
              </w:rPr>
              <w:t xml:space="preserve">DH Company employee </w:t>
            </w:r>
            <w:r w:rsidRPr="008D56F2">
              <w:rPr>
                <w:sz w:val="17"/>
                <w:szCs w:val="17"/>
              </w:rPr>
              <w:t>formal training programme to cover other EHS aspects, in addition to fire response such as:</w:t>
            </w:r>
          </w:p>
          <w:p w14:paraId="7A4CE64B" w14:textId="77777777" w:rsidR="0096009D" w:rsidRPr="008D56F2" w:rsidRDefault="0096009D" w:rsidP="0096009D">
            <w:pPr>
              <w:pStyle w:val="ListBullet"/>
              <w:numPr>
                <w:ilvl w:val="0"/>
                <w:numId w:val="19"/>
              </w:numPr>
              <w:spacing w:after="0"/>
              <w:ind w:left="284" w:hanging="284"/>
              <w:rPr>
                <w:rFonts w:eastAsia="Times New Roman" w:cs="Arial"/>
                <w:color w:val="auto"/>
                <w:sz w:val="17"/>
                <w:szCs w:val="17"/>
                <w:lang w:eastAsia="en-GB"/>
              </w:rPr>
            </w:pPr>
            <w:r w:rsidRPr="008D56F2">
              <w:rPr>
                <w:rFonts w:eastAsia="Times New Roman" w:cs="Arial"/>
                <w:color w:val="auto"/>
                <w:sz w:val="17"/>
                <w:szCs w:val="17"/>
                <w:lang w:eastAsia="en-GB"/>
              </w:rPr>
              <w:t>employer and employee responsibility in terms of general EHS</w:t>
            </w:r>
          </w:p>
          <w:p w14:paraId="732BC082" w14:textId="77777777" w:rsidR="0096009D" w:rsidRPr="008D56F2" w:rsidRDefault="0096009D" w:rsidP="0096009D">
            <w:pPr>
              <w:pStyle w:val="ListBullet"/>
              <w:numPr>
                <w:ilvl w:val="0"/>
                <w:numId w:val="19"/>
              </w:numPr>
              <w:spacing w:after="0"/>
              <w:ind w:left="284" w:hanging="284"/>
              <w:rPr>
                <w:rFonts w:eastAsia="Times New Roman" w:cs="Arial"/>
                <w:color w:val="auto"/>
                <w:sz w:val="17"/>
                <w:szCs w:val="17"/>
                <w:lang w:eastAsia="en-GB"/>
              </w:rPr>
            </w:pPr>
            <w:r w:rsidRPr="008D56F2">
              <w:rPr>
                <w:rFonts w:eastAsia="Times New Roman" w:cs="Arial"/>
                <w:color w:val="auto"/>
                <w:sz w:val="17"/>
                <w:szCs w:val="17"/>
                <w:lang w:eastAsia="en-GB"/>
              </w:rPr>
              <w:t>managing EHS, roles and responsibilities</w:t>
            </w:r>
          </w:p>
          <w:p w14:paraId="70851F67" w14:textId="77777777" w:rsidR="0096009D" w:rsidRPr="008D56F2" w:rsidRDefault="0096009D" w:rsidP="0096009D">
            <w:pPr>
              <w:pStyle w:val="ListBullet"/>
              <w:numPr>
                <w:ilvl w:val="0"/>
                <w:numId w:val="19"/>
              </w:numPr>
              <w:spacing w:after="0"/>
              <w:ind w:left="284" w:hanging="284"/>
              <w:rPr>
                <w:rFonts w:eastAsia="Times New Roman" w:cs="Arial"/>
                <w:color w:val="auto"/>
                <w:sz w:val="17"/>
                <w:szCs w:val="17"/>
                <w:lang w:eastAsia="en-GB"/>
              </w:rPr>
            </w:pPr>
            <w:r w:rsidRPr="008D56F2">
              <w:rPr>
                <w:rFonts w:eastAsia="Times New Roman" w:cs="Arial"/>
                <w:color w:val="auto"/>
                <w:sz w:val="17"/>
                <w:szCs w:val="17"/>
                <w:lang w:eastAsia="en-GB"/>
              </w:rPr>
              <w:t>incident reporting</w:t>
            </w:r>
          </w:p>
          <w:p w14:paraId="3E12AD13" w14:textId="77777777" w:rsidR="0096009D" w:rsidRPr="008D56F2" w:rsidRDefault="0096009D" w:rsidP="0096009D">
            <w:pPr>
              <w:pStyle w:val="ListBullet"/>
              <w:numPr>
                <w:ilvl w:val="0"/>
                <w:numId w:val="19"/>
              </w:numPr>
              <w:spacing w:after="0"/>
              <w:ind w:left="284" w:hanging="284"/>
              <w:rPr>
                <w:rFonts w:eastAsia="Times New Roman" w:cs="Arial"/>
                <w:color w:val="auto"/>
                <w:sz w:val="17"/>
                <w:szCs w:val="17"/>
                <w:lang w:eastAsia="en-GB"/>
              </w:rPr>
            </w:pPr>
            <w:r w:rsidRPr="008D56F2">
              <w:rPr>
                <w:rFonts w:eastAsia="Times New Roman" w:cs="Arial"/>
                <w:color w:val="auto"/>
                <w:sz w:val="17"/>
                <w:szCs w:val="17"/>
                <w:lang w:eastAsia="en-GB"/>
              </w:rPr>
              <w:t>manual handling</w:t>
            </w:r>
          </w:p>
          <w:p w14:paraId="6D869913" w14:textId="77777777" w:rsidR="0096009D" w:rsidRPr="008D56F2" w:rsidRDefault="0096009D" w:rsidP="0096009D">
            <w:pPr>
              <w:pStyle w:val="ListBullet"/>
              <w:numPr>
                <w:ilvl w:val="0"/>
                <w:numId w:val="19"/>
              </w:numPr>
              <w:spacing w:after="0"/>
              <w:ind w:left="284" w:hanging="284"/>
              <w:rPr>
                <w:rFonts w:eastAsia="Times New Roman" w:cs="Arial"/>
                <w:color w:val="auto"/>
                <w:sz w:val="17"/>
                <w:szCs w:val="17"/>
                <w:lang w:eastAsia="en-GB"/>
              </w:rPr>
            </w:pPr>
            <w:r w:rsidRPr="008D56F2">
              <w:rPr>
                <w:rFonts w:eastAsia="Times New Roman" w:cs="Arial"/>
                <w:color w:val="auto"/>
                <w:sz w:val="17"/>
                <w:szCs w:val="17"/>
                <w:lang w:eastAsia="en-GB"/>
              </w:rPr>
              <w:t>electrical safety</w:t>
            </w:r>
          </w:p>
          <w:p w14:paraId="5FAB72AC" w14:textId="77777777" w:rsidR="0096009D" w:rsidRPr="008D56F2" w:rsidRDefault="0096009D" w:rsidP="0096009D">
            <w:pPr>
              <w:pStyle w:val="ListBullet"/>
              <w:numPr>
                <w:ilvl w:val="0"/>
                <w:numId w:val="19"/>
              </w:numPr>
              <w:spacing w:after="0"/>
              <w:ind w:left="284" w:hanging="284"/>
              <w:rPr>
                <w:rFonts w:eastAsia="Times New Roman" w:cs="Arial"/>
                <w:color w:val="auto"/>
                <w:sz w:val="17"/>
                <w:szCs w:val="17"/>
                <w:lang w:eastAsia="en-GB"/>
              </w:rPr>
            </w:pPr>
            <w:r w:rsidRPr="008D56F2">
              <w:rPr>
                <w:rFonts w:eastAsia="Times New Roman" w:cs="Arial"/>
                <w:color w:val="auto"/>
                <w:sz w:val="17"/>
                <w:szCs w:val="17"/>
                <w:lang w:eastAsia="en-GB"/>
              </w:rPr>
              <w:t>Company specific hazards</w:t>
            </w:r>
          </w:p>
          <w:p w14:paraId="4F5B2B97" w14:textId="7FF77CEA" w:rsidR="0096009D" w:rsidRPr="008D56F2" w:rsidRDefault="0096009D" w:rsidP="0096009D">
            <w:pPr>
              <w:jc w:val="left"/>
              <w:rPr>
                <w:rFonts w:eastAsia="Calibri"/>
                <w:sz w:val="17"/>
                <w:szCs w:val="17"/>
              </w:rPr>
            </w:pPr>
            <w:r w:rsidRPr="008D56F2">
              <w:rPr>
                <w:sz w:val="17"/>
                <w:szCs w:val="17"/>
              </w:rPr>
              <w:t>This will be incorporated as part of the development of the EHSS Management System.</w:t>
            </w:r>
            <w:r w:rsidR="00F1626E">
              <w:rPr>
                <w:sz w:val="17"/>
                <w:szCs w:val="17"/>
              </w:rPr>
              <w:t xml:space="preserve"> </w:t>
            </w:r>
          </w:p>
        </w:tc>
        <w:tc>
          <w:tcPr>
            <w:tcW w:w="1700" w:type="dxa"/>
          </w:tcPr>
          <w:p w14:paraId="77A42A67" w14:textId="77777777" w:rsidR="0096009D" w:rsidRPr="008D56F2" w:rsidRDefault="0096009D" w:rsidP="0096009D">
            <w:pPr>
              <w:jc w:val="left"/>
              <w:rPr>
                <w:rFonts w:eastAsia="Calibri"/>
                <w:sz w:val="17"/>
                <w:szCs w:val="17"/>
              </w:rPr>
            </w:pPr>
            <w:r w:rsidRPr="008D56F2">
              <w:rPr>
                <w:sz w:val="17"/>
                <w:szCs w:val="17"/>
              </w:rPr>
              <w:t>Minimisation of accidents and incidents and ensure a safe working environment and promote the health of workers and safe use of equipment. Improved and continual improvement of health and safety performance.</w:t>
            </w:r>
          </w:p>
        </w:tc>
        <w:tc>
          <w:tcPr>
            <w:tcW w:w="2268" w:type="dxa"/>
          </w:tcPr>
          <w:p w14:paraId="6FFB967E" w14:textId="77777777" w:rsidR="0096009D" w:rsidRPr="008D56F2" w:rsidRDefault="0096009D" w:rsidP="0096009D">
            <w:pPr>
              <w:jc w:val="left"/>
              <w:rPr>
                <w:rFonts w:eastAsia="Calibri"/>
                <w:sz w:val="17"/>
                <w:szCs w:val="17"/>
              </w:rPr>
            </w:pPr>
            <w:r w:rsidRPr="008D56F2">
              <w:rPr>
                <w:sz w:val="17"/>
                <w:szCs w:val="17"/>
              </w:rPr>
              <w:t xml:space="preserve">EBRD PR4 and PR2 </w:t>
            </w:r>
          </w:p>
        </w:tc>
        <w:tc>
          <w:tcPr>
            <w:tcW w:w="1984" w:type="dxa"/>
          </w:tcPr>
          <w:p w14:paraId="21C96154" w14:textId="77777777" w:rsidR="0096009D" w:rsidRPr="008D56F2" w:rsidRDefault="0096009D" w:rsidP="0096009D">
            <w:pPr>
              <w:rPr>
                <w:sz w:val="17"/>
                <w:szCs w:val="17"/>
              </w:rPr>
            </w:pPr>
            <w:r w:rsidRPr="008D56F2">
              <w:rPr>
                <w:sz w:val="17"/>
                <w:szCs w:val="17"/>
              </w:rPr>
              <w:t>Toplana-Šabac District Heating Company  / Internal resource</w:t>
            </w:r>
          </w:p>
          <w:p w14:paraId="45A7893D" w14:textId="77777777" w:rsidR="0096009D" w:rsidRPr="008D56F2" w:rsidRDefault="0096009D" w:rsidP="0096009D">
            <w:pPr>
              <w:suppressAutoHyphens/>
              <w:jc w:val="left"/>
              <w:rPr>
                <w:rFonts w:eastAsia="Calibri"/>
                <w:sz w:val="17"/>
                <w:szCs w:val="17"/>
              </w:rPr>
            </w:pPr>
            <w:r w:rsidRPr="008D56F2">
              <w:rPr>
                <w:sz w:val="17"/>
                <w:szCs w:val="17"/>
              </w:rPr>
              <w:t xml:space="preserve">External consultancy </w:t>
            </w:r>
          </w:p>
        </w:tc>
        <w:tc>
          <w:tcPr>
            <w:tcW w:w="1560" w:type="dxa"/>
          </w:tcPr>
          <w:p w14:paraId="4748CC11" w14:textId="77777777" w:rsidR="0096009D" w:rsidRPr="008D56F2" w:rsidRDefault="00626EA4" w:rsidP="0096009D">
            <w:pPr>
              <w:jc w:val="left"/>
              <w:rPr>
                <w:rFonts w:eastAsia="Calibri"/>
                <w:sz w:val="17"/>
                <w:szCs w:val="17"/>
              </w:rPr>
            </w:pPr>
            <w:r>
              <w:rPr>
                <w:sz w:val="17"/>
                <w:szCs w:val="17"/>
              </w:rPr>
              <w:t>By December</w:t>
            </w:r>
            <w:r w:rsidR="0096009D" w:rsidRPr="008D56F2">
              <w:rPr>
                <w:sz w:val="17"/>
                <w:szCs w:val="17"/>
              </w:rPr>
              <w:t xml:space="preserve"> 2019</w:t>
            </w:r>
          </w:p>
        </w:tc>
        <w:tc>
          <w:tcPr>
            <w:tcW w:w="1882" w:type="dxa"/>
          </w:tcPr>
          <w:p w14:paraId="4EC97906" w14:textId="77777777" w:rsidR="0096009D" w:rsidRPr="008D56F2" w:rsidRDefault="0096009D" w:rsidP="0096009D">
            <w:pPr>
              <w:jc w:val="left"/>
              <w:rPr>
                <w:rFonts w:eastAsia="Calibri"/>
                <w:sz w:val="17"/>
                <w:szCs w:val="17"/>
              </w:rPr>
            </w:pPr>
            <w:r w:rsidRPr="008D56F2">
              <w:rPr>
                <w:sz w:val="17"/>
                <w:szCs w:val="17"/>
              </w:rPr>
              <w:t xml:space="preserve">Summary of health and safety training programme implemented </w:t>
            </w:r>
          </w:p>
        </w:tc>
        <w:tc>
          <w:tcPr>
            <w:tcW w:w="1715" w:type="dxa"/>
          </w:tcPr>
          <w:p w14:paraId="2234B4A5" w14:textId="77777777" w:rsidR="0096009D" w:rsidRPr="008D56F2" w:rsidRDefault="0096009D" w:rsidP="0096009D">
            <w:pPr>
              <w:jc w:val="left"/>
              <w:rPr>
                <w:sz w:val="17"/>
                <w:szCs w:val="17"/>
              </w:rPr>
            </w:pPr>
          </w:p>
        </w:tc>
      </w:tr>
      <w:tr w:rsidR="0096009D" w:rsidRPr="00A14FB6" w14:paraId="1DB0456F" w14:textId="77777777" w:rsidTr="005B2153">
        <w:trPr>
          <w:gridAfter w:val="1"/>
          <w:wAfter w:w="64" w:type="dxa"/>
          <w:trHeight w:val="654"/>
        </w:trPr>
        <w:tc>
          <w:tcPr>
            <w:tcW w:w="467" w:type="dxa"/>
          </w:tcPr>
          <w:p w14:paraId="1B364D59" w14:textId="77777777" w:rsidR="0096009D" w:rsidRPr="00B86389" w:rsidRDefault="0096009D" w:rsidP="0096009D">
            <w:pPr>
              <w:rPr>
                <w:sz w:val="17"/>
                <w:szCs w:val="17"/>
              </w:rPr>
            </w:pPr>
            <w:r w:rsidRPr="00C2099C">
              <w:rPr>
                <w:sz w:val="17"/>
                <w:szCs w:val="17"/>
              </w:rPr>
              <w:t>4.4</w:t>
            </w:r>
          </w:p>
        </w:tc>
        <w:tc>
          <w:tcPr>
            <w:tcW w:w="3215" w:type="dxa"/>
          </w:tcPr>
          <w:p w14:paraId="0D421BB0" w14:textId="77777777" w:rsidR="0096009D" w:rsidRPr="008D56F2" w:rsidRDefault="0096009D" w:rsidP="0096009D">
            <w:pPr>
              <w:jc w:val="left"/>
              <w:rPr>
                <w:rFonts w:eastAsia="Calibri"/>
                <w:sz w:val="17"/>
                <w:szCs w:val="17"/>
              </w:rPr>
            </w:pPr>
            <w:r w:rsidRPr="00B53926">
              <w:rPr>
                <w:sz w:val="17"/>
                <w:szCs w:val="17"/>
              </w:rPr>
              <w:t>Formalise the need for a risk assessment for all positions visiting sites and ensure this is documented as part of the EHSS Management System..</w:t>
            </w:r>
          </w:p>
        </w:tc>
        <w:tc>
          <w:tcPr>
            <w:tcW w:w="1700" w:type="dxa"/>
          </w:tcPr>
          <w:p w14:paraId="3C2CE5EF" w14:textId="77777777" w:rsidR="0096009D" w:rsidRPr="008D56F2" w:rsidRDefault="0096009D" w:rsidP="0096009D">
            <w:pPr>
              <w:jc w:val="left"/>
              <w:rPr>
                <w:rFonts w:eastAsia="Calibri"/>
                <w:sz w:val="17"/>
                <w:szCs w:val="17"/>
              </w:rPr>
            </w:pPr>
            <w:r w:rsidRPr="008D56F2">
              <w:rPr>
                <w:sz w:val="17"/>
                <w:szCs w:val="17"/>
              </w:rPr>
              <w:t>Minimisation of accidents and incidents and ensure a safe working environment and promote the health of workers and safe use of equipment. Improved and continual improvement of health and safety performance.</w:t>
            </w:r>
          </w:p>
        </w:tc>
        <w:tc>
          <w:tcPr>
            <w:tcW w:w="2268" w:type="dxa"/>
          </w:tcPr>
          <w:p w14:paraId="217DE81B" w14:textId="77777777" w:rsidR="0096009D" w:rsidRPr="008D56F2" w:rsidRDefault="0096009D" w:rsidP="0096009D">
            <w:pPr>
              <w:jc w:val="left"/>
              <w:rPr>
                <w:rFonts w:eastAsia="Calibri"/>
                <w:sz w:val="17"/>
                <w:szCs w:val="17"/>
              </w:rPr>
            </w:pPr>
            <w:r w:rsidRPr="008D56F2">
              <w:rPr>
                <w:sz w:val="17"/>
                <w:szCs w:val="17"/>
              </w:rPr>
              <w:t xml:space="preserve">EBRD PR4 and PR2 </w:t>
            </w:r>
          </w:p>
        </w:tc>
        <w:tc>
          <w:tcPr>
            <w:tcW w:w="1984" w:type="dxa"/>
          </w:tcPr>
          <w:p w14:paraId="763E04F5" w14:textId="77777777" w:rsidR="0096009D" w:rsidRPr="008D56F2" w:rsidRDefault="0096009D" w:rsidP="0096009D">
            <w:pPr>
              <w:rPr>
                <w:sz w:val="17"/>
                <w:szCs w:val="17"/>
              </w:rPr>
            </w:pPr>
            <w:r w:rsidRPr="008D56F2">
              <w:rPr>
                <w:sz w:val="17"/>
                <w:szCs w:val="17"/>
              </w:rPr>
              <w:t>Toplana-Šabac District Heating Company  / Internal resource</w:t>
            </w:r>
          </w:p>
          <w:p w14:paraId="44513133" w14:textId="77777777" w:rsidR="0096009D" w:rsidRPr="008D56F2" w:rsidRDefault="0096009D" w:rsidP="0096009D">
            <w:pPr>
              <w:suppressAutoHyphens/>
              <w:jc w:val="left"/>
              <w:rPr>
                <w:rFonts w:eastAsia="Calibri"/>
                <w:sz w:val="17"/>
                <w:szCs w:val="17"/>
              </w:rPr>
            </w:pPr>
            <w:r w:rsidRPr="008D56F2">
              <w:rPr>
                <w:sz w:val="17"/>
                <w:szCs w:val="17"/>
              </w:rPr>
              <w:t xml:space="preserve">External consultancy </w:t>
            </w:r>
          </w:p>
        </w:tc>
        <w:tc>
          <w:tcPr>
            <w:tcW w:w="1560" w:type="dxa"/>
          </w:tcPr>
          <w:p w14:paraId="79D957A7" w14:textId="77777777" w:rsidR="0096009D" w:rsidRPr="008D56F2" w:rsidRDefault="00626EA4" w:rsidP="0096009D">
            <w:pPr>
              <w:jc w:val="left"/>
              <w:rPr>
                <w:rFonts w:eastAsia="Calibri"/>
                <w:sz w:val="17"/>
                <w:szCs w:val="17"/>
              </w:rPr>
            </w:pPr>
            <w:r>
              <w:rPr>
                <w:sz w:val="17"/>
                <w:szCs w:val="17"/>
              </w:rPr>
              <w:t>By December</w:t>
            </w:r>
            <w:r w:rsidR="0096009D" w:rsidRPr="008D56F2">
              <w:rPr>
                <w:sz w:val="17"/>
                <w:szCs w:val="17"/>
              </w:rPr>
              <w:t xml:space="preserve"> 2019</w:t>
            </w:r>
          </w:p>
        </w:tc>
        <w:tc>
          <w:tcPr>
            <w:tcW w:w="1882" w:type="dxa"/>
          </w:tcPr>
          <w:p w14:paraId="2204919D" w14:textId="77777777" w:rsidR="0096009D" w:rsidRPr="008D56F2" w:rsidRDefault="0096009D" w:rsidP="0096009D">
            <w:pPr>
              <w:jc w:val="left"/>
              <w:rPr>
                <w:rFonts w:eastAsia="Calibri"/>
                <w:sz w:val="17"/>
                <w:szCs w:val="17"/>
              </w:rPr>
            </w:pPr>
            <w:r w:rsidRPr="008D56F2">
              <w:rPr>
                <w:sz w:val="17"/>
                <w:szCs w:val="17"/>
              </w:rPr>
              <w:t>Summary of risk assessment programme</w:t>
            </w:r>
          </w:p>
        </w:tc>
        <w:tc>
          <w:tcPr>
            <w:tcW w:w="1715" w:type="dxa"/>
          </w:tcPr>
          <w:p w14:paraId="2452F5E6" w14:textId="77777777" w:rsidR="0096009D" w:rsidRPr="008D56F2" w:rsidRDefault="0096009D" w:rsidP="0096009D">
            <w:pPr>
              <w:jc w:val="left"/>
              <w:rPr>
                <w:sz w:val="17"/>
                <w:szCs w:val="17"/>
              </w:rPr>
            </w:pPr>
          </w:p>
        </w:tc>
      </w:tr>
      <w:tr w:rsidR="0096009D" w:rsidRPr="00A14FB6" w14:paraId="71D73209" w14:textId="77777777" w:rsidTr="00AB2602">
        <w:trPr>
          <w:gridAfter w:val="1"/>
          <w:wAfter w:w="64" w:type="dxa"/>
          <w:trHeight w:val="1561"/>
        </w:trPr>
        <w:tc>
          <w:tcPr>
            <w:tcW w:w="467" w:type="dxa"/>
          </w:tcPr>
          <w:p w14:paraId="0E6474BD" w14:textId="77777777" w:rsidR="0096009D" w:rsidRPr="00B86389" w:rsidRDefault="0096009D" w:rsidP="0096009D">
            <w:pPr>
              <w:rPr>
                <w:sz w:val="17"/>
                <w:szCs w:val="17"/>
              </w:rPr>
            </w:pPr>
            <w:r w:rsidRPr="00C2099C">
              <w:rPr>
                <w:sz w:val="17"/>
                <w:szCs w:val="17"/>
              </w:rPr>
              <w:lastRenderedPageBreak/>
              <w:t>4.5</w:t>
            </w:r>
          </w:p>
        </w:tc>
        <w:tc>
          <w:tcPr>
            <w:tcW w:w="3215" w:type="dxa"/>
          </w:tcPr>
          <w:p w14:paraId="584C85D4" w14:textId="77777777" w:rsidR="0096009D" w:rsidRDefault="0096009D" w:rsidP="0096009D">
            <w:pPr>
              <w:jc w:val="left"/>
              <w:rPr>
                <w:sz w:val="17"/>
                <w:szCs w:val="17"/>
              </w:rPr>
            </w:pPr>
            <w:r w:rsidRPr="00B53926">
              <w:rPr>
                <w:sz w:val="17"/>
                <w:szCs w:val="17"/>
              </w:rPr>
              <w:t>Conduct a survey for Asbestos Containing Materials (ACMs) at proposed building sites</w:t>
            </w:r>
            <w:r w:rsidR="00626EA4" w:rsidRPr="00B53926">
              <w:rPr>
                <w:sz w:val="17"/>
                <w:szCs w:val="17"/>
              </w:rPr>
              <w:t>, relevant to the works being undertaken (ie insulation materials removal / updating)</w:t>
            </w:r>
            <w:r w:rsidRPr="00B53926">
              <w:rPr>
                <w:sz w:val="17"/>
                <w:szCs w:val="17"/>
              </w:rPr>
              <w:t xml:space="preserve"> for refurbishment</w:t>
            </w:r>
            <w:r w:rsidRPr="008D56F2">
              <w:rPr>
                <w:sz w:val="17"/>
                <w:szCs w:val="17"/>
              </w:rPr>
              <w:t>.</w:t>
            </w:r>
          </w:p>
          <w:p w14:paraId="29445D67" w14:textId="77777777" w:rsidR="00F1626E" w:rsidRDefault="00F1626E" w:rsidP="0096009D">
            <w:pPr>
              <w:jc w:val="left"/>
              <w:rPr>
                <w:sz w:val="17"/>
                <w:szCs w:val="17"/>
              </w:rPr>
            </w:pPr>
          </w:p>
          <w:p w14:paraId="3EDF4017" w14:textId="12BA2DD3" w:rsidR="00F1626E" w:rsidRPr="008D56F2" w:rsidRDefault="00F1626E" w:rsidP="0096009D">
            <w:pPr>
              <w:jc w:val="left"/>
              <w:rPr>
                <w:rFonts w:eastAsia="Calibri"/>
                <w:sz w:val="17"/>
                <w:szCs w:val="17"/>
              </w:rPr>
            </w:pPr>
            <w:r>
              <w:rPr>
                <w:sz w:val="17"/>
                <w:szCs w:val="17"/>
              </w:rPr>
              <w:t>T</w:t>
            </w:r>
            <w:r w:rsidRPr="00575DA0">
              <w:rPr>
                <w:sz w:val="17"/>
                <w:szCs w:val="17"/>
              </w:rPr>
              <w:t xml:space="preserve">he construction waste management plan </w:t>
            </w:r>
            <w:r>
              <w:rPr>
                <w:sz w:val="17"/>
                <w:szCs w:val="17"/>
              </w:rPr>
              <w:t xml:space="preserve">included in the CEMP(s) </w:t>
            </w:r>
            <w:r w:rsidRPr="00575DA0">
              <w:rPr>
                <w:sz w:val="17"/>
                <w:szCs w:val="17"/>
              </w:rPr>
              <w:t>for this Project should incorporate preventive measures / approach if asbestos is identified during any of the demolition works</w:t>
            </w:r>
            <w:r>
              <w:rPr>
                <w:sz w:val="17"/>
                <w:szCs w:val="17"/>
              </w:rPr>
              <w:t>.</w:t>
            </w:r>
          </w:p>
        </w:tc>
        <w:tc>
          <w:tcPr>
            <w:tcW w:w="1700" w:type="dxa"/>
          </w:tcPr>
          <w:p w14:paraId="15AA8C7F" w14:textId="77777777" w:rsidR="0096009D" w:rsidRPr="008D56F2" w:rsidRDefault="0096009D" w:rsidP="0096009D">
            <w:pPr>
              <w:jc w:val="left"/>
              <w:rPr>
                <w:rFonts w:eastAsia="Calibri"/>
                <w:sz w:val="17"/>
                <w:szCs w:val="17"/>
              </w:rPr>
            </w:pPr>
            <w:r w:rsidRPr="008D56F2">
              <w:rPr>
                <w:sz w:val="17"/>
                <w:szCs w:val="17"/>
              </w:rPr>
              <w:t>Safe working environment and promote the health of workers and residents.</w:t>
            </w:r>
          </w:p>
        </w:tc>
        <w:tc>
          <w:tcPr>
            <w:tcW w:w="2268" w:type="dxa"/>
          </w:tcPr>
          <w:p w14:paraId="4ADCAB51" w14:textId="77777777" w:rsidR="0096009D" w:rsidRPr="00392F88" w:rsidRDefault="0096009D" w:rsidP="0096009D">
            <w:pPr>
              <w:jc w:val="left"/>
              <w:rPr>
                <w:rFonts w:eastAsia="Calibri"/>
                <w:sz w:val="17"/>
                <w:szCs w:val="17"/>
                <w:lang w:val="fr-FR"/>
              </w:rPr>
            </w:pPr>
            <w:r w:rsidRPr="00392F88">
              <w:rPr>
                <w:sz w:val="17"/>
                <w:szCs w:val="17"/>
                <w:lang w:val="fr-FR"/>
              </w:rPr>
              <w:t>EBRD PR2, PR3 and PR4</w:t>
            </w:r>
          </w:p>
        </w:tc>
        <w:tc>
          <w:tcPr>
            <w:tcW w:w="1984" w:type="dxa"/>
          </w:tcPr>
          <w:p w14:paraId="0EA531B3" w14:textId="77777777" w:rsidR="0096009D" w:rsidRPr="008D56F2" w:rsidRDefault="0096009D" w:rsidP="0096009D">
            <w:pPr>
              <w:jc w:val="left"/>
              <w:rPr>
                <w:sz w:val="17"/>
                <w:szCs w:val="17"/>
              </w:rPr>
            </w:pPr>
            <w:r w:rsidRPr="008D56F2">
              <w:rPr>
                <w:sz w:val="17"/>
                <w:szCs w:val="17"/>
              </w:rPr>
              <w:t>External contractor</w:t>
            </w:r>
          </w:p>
          <w:p w14:paraId="72704963" w14:textId="77777777" w:rsidR="0096009D" w:rsidRPr="008D56F2" w:rsidRDefault="0096009D" w:rsidP="0096009D">
            <w:pPr>
              <w:suppressAutoHyphens/>
              <w:jc w:val="left"/>
              <w:rPr>
                <w:rFonts w:eastAsia="Calibri"/>
                <w:sz w:val="17"/>
                <w:szCs w:val="17"/>
              </w:rPr>
            </w:pPr>
          </w:p>
        </w:tc>
        <w:tc>
          <w:tcPr>
            <w:tcW w:w="1560" w:type="dxa"/>
          </w:tcPr>
          <w:p w14:paraId="58BC3EFE" w14:textId="60058C5F" w:rsidR="0096009D" w:rsidRPr="008D56F2" w:rsidRDefault="0096009D" w:rsidP="0096009D">
            <w:pPr>
              <w:jc w:val="left"/>
              <w:rPr>
                <w:sz w:val="17"/>
                <w:szCs w:val="17"/>
              </w:rPr>
            </w:pPr>
            <w:r w:rsidRPr="008D56F2">
              <w:rPr>
                <w:sz w:val="17"/>
                <w:szCs w:val="17"/>
              </w:rPr>
              <w:t>Develop schedule of surveys</w:t>
            </w:r>
            <w:r w:rsidR="00F1626E">
              <w:rPr>
                <w:sz w:val="17"/>
                <w:szCs w:val="17"/>
              </w:rPr>
              <w:t xml:space="preserve"> and construction waste management plan in CEMP</w:t>
            </w:r>
            <w:r w:rsidRPr="008D56F2">
              <w:rPr>
                <w:sz w:val="17"/>
                <w:szCs w:val="17"/>
              </w:rPr>
              <w:t xml:space="preserve"> pre-construction.</w:t>
            </w:r>
          </w:p>
          <w:p w14:paraId="48C982FF" w14:textId="48A40638" w:rsidR="0096009D" w:rsidRPr="008D56F2" w:rsidRDefault="0096009D" w:rsidP="0096009D">
            <w:pPr>
              <w:jc w:val="left"/>
              <w:rPr>
                <w:rFonts w:eastAsia="Calibri"/>
                <w:sz w:val="17"/>
                <w:szCs w:val="17"/>
              </w:rPr>
            </w:pPr>
            <w:r w:rsidRPr="008D56F2">
              <w:rPr>
                <w:sz w:val="17"/>
                <w:szCs w:val="17"/>
              </w:rPr>
              <w:t xml:space="preserve">Completion of surveys as per the schedule. </w:t>
            </w:r>
          </w:p>
        </w:tc>
        <w:tc>
          <w:tcPr>
            <w:tcW w:w="1882" w:type="dxa"/>
          </w:tcPr>
          <w:p w14:paraId="75B3399D" w14:textId="77777777" w:rsidR="0096009D" w:rsidRPr="008D56F2" w:rsidRDefault="0096009D" w:rsidP="0096009D">
            <w:pPr>
              <w:jc w:val="left"/>
              <w:rPr>
                <w:sz w:val="17"/>
                <w:szCs w:val="17"/>
              </w:rPr>
            </w:pPr>
            <w:r w:rsidRPr="008D56F2">
              <w:rPr>
                <w:sz w:val="17"/>
                <w:szCs w:val="17"/>
              </w:rPr>
              <w:t>Asbestos containing materials survey report.</w:t>
            </w:r>
          </w:p>
          <w:p w14:paraId="77B63916" w14:textId="77777777" w:rsidR="0096009D" w:rsidRPr="008D56F2" w:rsidRDefault="0096009D" w:rsidP="0096009D">
            <w:pPr>
              <w:jc w:val="left"/>
              <w:rPr>
                <w:sz w:val="17"/>
                <w:szCs w:val="17"/>
              </w:rPr>
            </w:pPr>
            <w:r w:rsidRPr="008D56F2">
              <w:rPr>
                <w:sz w:val="17"/>
                <w:szCs w:val="17"/>
              </w:rPr>
              <w:t xml:space="preserve">Asbestos Management Plan. </w:t>
            </w:r>
          </w:p>
          <w:p w14:paraId="24B90757" w14:textId="54335C81" w:rsidR="0096009D" w:rsidRPr="008D56F2" w:rsidRDefault="0096009D" w:rsidP="0096009D">
            <w:pPr>
              <w:jc w:val="left"/>
              <w:rPr>
                <w:rFonts w:eastAsia="Calibri"/>
                <w:sz w:val="17"/>
                <w:szCs w:val="17"/>
              </w:rPr>
            </w:pPr>
            <w:r w:rsidRPr="008D56F2">
              <w:rPr>
                <w:sz w:val="17"/>
                <w:szCs w:val="17"/>
              </w:rPr>
              <w:t xml:space="preserve">Phase out programme of use of asbestos, if </w:t>
            </w:r>
            <w:r w:rsidR="00F1626E">
              <w:rPr>
                <w:sz w:val="17"/>
                <w:szCs w:val="17"/>
              </w:rPr>
              <w:t xml:space="preserve">required. </w:t>
            </w:r>
          </w:p>
        </w:tc>
        <w:tc>
          <w:tcPr>
            <w:tcW w:w="1715" w:type="dxa"/>
          </w:tcPr>
          <w:p w14:paraId="695B624E" w14:textId="77777777" w:rsidR="0096009D" w:rsidRPr="008D56F2" w:rsidRDefault="0096009D" w:rsidP="0096009D">
            <w:pPr>
              <w:jc w:val="left"/>
              <w:rPr>
                <w:sz w:val="17"/>
                <w:szCs w:val="17"/>
              </w:rPr>
            </w:pPr>
          </w:p>
        </w:tc>
      </w:tr>
      <w:tr w:rsidR="0096009D" w:rsidRPr="00A14FB6" w14:paraId="795266E4" w14:textId="77777777" w:rsidTr="0096009D">
        <w:trPr>
          <w:gridAfter w:val="1"/>
          <w:wAfter w:w="64" w:type="dxa"/>
          <w:trHeight w:val="654"/>
        </w:trPr>
        <w:tc>
          <w:tcPr>
            <w:tcW w:w="467" w:type="dxa"/>
          </w:tcPr>
          <w:p w14:paraId="67A76C18" w14:textId="77777777" w:rsidR="0096009D" w:rsidRPr="00B86389" w:rsidRDefault="0096009D" w:rsidP="0096009D">
            <w:pPr>
              <w:jc w:val="left"/>
              <w:rPr>
                <w:sz w:val="17"/>
                <w:szCs w:val="17"/>
              </w:rPr>
            </w:pPr>
            <w:r w:rsidRPr="00C2099C">
              <w:rPr>
                <w:sz w:val="17"/>
                <w:szCs w:val="17"/>
              </w:rPr>
              <w:t>4.6</w:t>
            </w:r>
          </w:p>
        </w:tc>
        <w:tc>
          <w:tcPr>
            <w:tcW w:w="3215" w:type="dxa"/>
          </w:tcPr>
          <w:p w14:paraId="1CEAB30E" w14:textId="2C56B89E" w:rsidR="0096009D" w:rsidRPr="00B53926" w:rsidRDefault="0019577E" w:rsidP="0096009D">
            <w:pPr>
              <w:jc w:val="left"/>
              <w:rPr>
                <w:sz w:val="17"/>
                <w:szCs w:val="17"/>
              </w:rPr>
            </w:pPr>
            <w:r>
              <w:rPr>
                <w:sz w:val="17"/>
                <w:szCs w:val="17"/>
              </w:rPr>
              <w:t>Ensure that the CEMP includes the necessity for the contractor to follow</w:t>
            </w:r>
            <w:r w:rsidR="0096009D" w:rsidRPr="00B53926">
              <w:rPr>
                <w:sz w:val="17"/>
                <w:szCs w:val="17"/>
              </w:rPr>
              <w:t xml:space="preserve"> a formal system for permits to work for working at height/hot work.</w:t>
            </w:r>
          </w:p>
          <w:p w14:paraId="72E3EDDC" w14:textId="29E69003" w:rsidR="0096009D" w:rsidRPr="008D56F2" w:rsidRDefault="00324F55" w:rsidP="00126C91">
            <w:pPr>
              <w:jc w:val="left"/>
              <w:rPr>
                <w:rFonts w:eastAsia="Calibri"/>
                <w:sz w:val="17"/>
                <w:szCs w:val="17"/>
              </w:rPr>
            </w:pPr>
            <w:r>
              <w:rPr>
                <w:sz w:val="17"/>
                <w:szCs w:val="17"/>
              </w:rPr>
              <w:t xml:space="preserve">This will include the </w:t>
            </w:r>
            <w:r w:rsidR="0096009D" w:rsidRPr="00B53926">
              <w:rPr>
                <w:sz w:val="17"/>
                <w:szCs w:val="17"/>
              </w:rPr>
              <w:t xml:space="preserve">provision of the ladder systems, scaffolding and man safe systems </w:t>
            </w:r>
            <w:r w:rsidR="00126C91" w:rsidRPr="00B53926">
              <w:rPr>
                <w:sz w:val="17"/>
                <w:szCs w:val="17"/>
              </w:rPr>
              <w:t xml:space="preserve">for </w:t>
            </w:r>
            <w:r w:rsidR="0096009D" w:rsidRPr="00B53926">
              <w:rPr>
                <w:sz w:val="17"/>
                <w:szCs w:val="17"/>
              </w:rPr>
              <w:t>working at height is in line with good international practice.</w:t>
            </w:r>
          </w:p>
        </w:tc>
        <w:tc>
          <w:tcPr>
            <w:tcW w:w="1700" w:type="dxa"/>
          </w:tcPr>
          <w:p w14:paraId="2D28FF98" w14:textId="77777777" w:rsidR="0096009D" w:rsidRPr="008D56F2" w:rsidRDefault="0096009D" w:rsidP="0096009D">
            <w:pPr>
              <w:jc w:val="left"/>
              <w:rPr>
                <w:sz w:val="17"/>
                <w:szCs w:val="17"/>
              </w:rPr>
            </w:pPr>
            <w:r w:rsidRPr="008D56F2">
              <w:rPr>
                <w:sz w:val="17"/>
                <w:szCs w:val="17"/>
              </w:rPr>
              <w:t>Improved health and safety performance</w:t>
            </w:r>
          </w:p>
          <w:p w14:paraId="18E228A3" w14:textId="77777777" w:rsidR="0096009D" w:rsidRPr="008D56F2" w:rsidRDefault="0096009D" w:rsidP="0096009D">
            <w:pPr>
              <w:jc w:val="left"/>
              <w:rPr>
                <w:sz w:val="17"/>
                <w:szCs w:val="17"/>
              </w:rPr>
            </w:pPr>
            <w:r w:rsidRPr="008D56F2">
              <w:rPr>
                <w:sz w:val="17"/>
                <w:szCs w:val="17"/>
              </w:rPr>
              <w:t xml:space="preserve">Minimisation of accidents and incidents </w:t>
            </w:r>
          </w:p>
          <w:p w14:paraId="373DB475" w14:textId="77777777" w:rsidR="0096009D" w:rsidRPr="008D56F2" w:rsidRDefault="0096009D" w:rsidP="0096009D">
            <w:pPr>
              <w:jc w:val="left"/>
              <w:rPr>
                <w:rFonts w:eastAsia="Calibri"/>
                <w:sz w:val="17"/>
                <w:szCs w:val="17"/>
              </w:rPr>
            </w:pPr>
            <w:r w:rsidRPr="008D56F2">
              <w:rPr>
                <w:sz w:val="17"/>
                <w:szCs w:val="17"/>
              </w:rPr>
              <w:t>Safe working environment and promote the health of workers.</w:t>
            </w:r>
          </w:p>
        </w:tc>
        <w:tc>
          <w:tcPr>
            <w:tcW w:w="2268" w:type="dxa"/>
          </w:tcPr>
          <w:p w14:paraId="5540ABAB" w14:textId="77777777" w:rsidR="0096009D" w:rsidRPr="008D56F2" w:rsidRDefault="0096009D" w:rsidP="0096009D">
            <w:pPr>
              <w:jc w:val="left"/>
              <w:rPr>
                <w:sz w:val="17"/>
                <w:szCs w:val="17"/>
              </w:rPr>
            </w:pPr>
            <w:r w:rsidRPr="008D56F2">
              <w:rPr>
                <w:sz w:val="17"/>
                <w:szCs w:val="17"/>
              </w:rPr>
              <w:t>EBRD PR2 and PR4</w:t>
            </w:r>
          </w:p>
          <w:p w14:paraId="2D069DAF" w14:textId="77777777" w:rsidR="0096009D" w:rsidRPr="008D56F2" w:rsidRDefault="0096009D" w:rsidP="0096009D">
            <w:pPr>
              <w:jc w:val="left"/>
              <w:rPr>
                <w:rFonts w:eastAsia="Calibri"/>
                <w:sz w:val="17"/>
                <w:szCs w:val="17"/>
              </w:rPr>
            </w:pPr>
            <w:r w:rsidRPr="008D56F2">
              <w:rPr>
                <w:sz w:val="17"/>
                <w:szCs w:val="17"/>
              </w:rPr>
              <w:t>Best practice</w:t>
            </w:r>
          </w:p>
        </w:tc>
        <w:tc>
          <w:tcPr>
            <w:tcW w:w="1984" w:type="dxa"/>
          </w:tcPr>
          <w:p w14:paraId="71DBFEE4" w14:textId="093F2FE9" w:rsidR="0096009D" w:rsidRPr="008D56F2" w:rsidRDefault="0096009D" w:rsidP="0096009D">
            <w:pPr>
              <w:jc w:val="left"/>
              <w:rPr>
                <w:sz w:val="17"/>
                <w:szCs w:val="17"/>
              </w:rPr>
            </w:pPr>
            <w:r w:rsidRPr="008D56F2">
              <w:rPr>
                <w:sz w:val="17"/>
                <w:szCs w:val="17"/>
              </w:rPr>
              <w:t>Internal resource</w:t>
            </w:r>
          </w:p>
          <w:p w14:paraId="1FCE5323" w14:textId="06FB3A1C" w:rsidR="0096009D" w:rsidRPr="008D56F2" w:rsidRDefault="00AB2602" w:rsidP="0096009D">
            <w:pPr>
              <w:suppressAutoHyphens/>
              <w:jc w:val="left"/>
              <w:rPr>
                <w:rFonts w:eastAsia="Calibri"/>
                <w:sz w:val="17"/>
                <w:szCs w:val="17"/>
              </w:rPr>
            </w:pPr>
            <w:r>
              <w:rPr>
                <w:sz w:val="17"/>
                <w:szCs w:val="17"/>
              </w:rPr>
              <w:t>Supervision of</w:t>
            </w:r>
            <w:r w:rsidR="0096009D" w:rsidRPr="008D56F2">
              <w:rPr>
                <w:sz w:val="17"/>
                <w:szCs w:val="17"/>
              </w:rPr>
              <w:t xml:space="preserve"> </w:t>
            </w:r>
            <w:r w:rsidR="00324F55">
              <w:rPr>
                <w:sz w:val="17"/>
                <w:szCs w:val="17"/>
              </w:rPr>
              <w:t>contractors</w:t>
            </w:r>
          </w:p>
        </w:tc>
        <w:tc>
          <w:tcPr>
            <w:tcW w:w="1560" w:type="dxa"/>
          </w:tcPr>
          <w:p w14:paraId="4958252E" w14:textId="77777777" w:rsidR="0096009D" w:rsidRPr="008D56F2" w:rsidRDefault="0096009D" w:rsidP="0096009D">
            <w:pPr>
              <w:jc w:val="left"/>
              <w:rPr>
                <w:rFonts w:eastAsia="Calibri"/>
                <w:sz w:val="17"/>
                <w:szCs w:val="17"/>
              </w:rPr>
            </w:pPr>
            <w:r w:rsidRPr="008D56F2">
              <w:rPr>
                <w:sz w:val="17"/>
                <w:szCs w:val="17"/>
              </w:rPr>
              <w:t xml:space="preserve">Prior to construction </w:t>
            </w:r>
          </w:p>
        </w:tc>
        <w:tc>
          <w:tcPr>
            <w:tcW w:w="1882" w:type="dxa"/>
          </w:tcPr>
          <w:p w14:paraId="559729C8" w14:textId="77777777" w:rsidR="0096009D" w:rsidRPr="008D56F2" w:rsidRDefault="0096009D" w:rsidP="0096009D">
            <w:pPr>
              <w:jc w:val="left"/>
              <w:rPr>
                <w:sz w:val="17"/>
                <w:szCs w:val="17"/>
              </w:rPr>
            </w:pPr>
            <w:r w:rsidRPr="008D56F2">
              <w:rPr>
                <w:sz w:val="17"/>
                <w:szCs w:val="17"/>
              </w:rPr>
              <w:t xml:space="preserve">Formalised permit to work system in place </w:t>
            </w:r>
          </w:p>
          <w:p w14:paraId="232AAFDB" w14:textId="77777777" w:rsidR="0096009D" w:rsidRPr="008D56F2" w:rsidRDefault="0096009D" w:rsidP="0096009D">
            <w:pPr>
              <w:jc w:val="left"/>
              <w:rPr>
                <w:sz w:val="17"/>
                <w:szCs w:val="17"/>
              </w:rPr>
            </w:pPr>
            <w:r w:rsidRPr="008D56F2">
              <w:rPr>
                <w:sz w:val="17"/>
                <w:szCs w:val="17"/>
              </w:rPr>
              <w:t>Formalised management procedure for safe works on working at height/hot work</w:t>
            </w:r>
          </w:p>
          <w:p w14:paraId="37A92200" w14:textId="77777777" w:rsidR="0096009D" w:rsidRPr="008D56F2" w:rsidRDefault="0096009D" w:rsidP="0096009D">
            <w:pPr>
              <w:jc w:val="left"/>
              <w:rPr>
                <w:sz w:val="17"/>
                <w:szCs w:val="17"/>
              </w:rPr>
            </w:pPr>
            <w:r w:rsidRPr="008D56F2">
              <w:rPr>
                <w:sz w:val="17"/>
                <w:szCs w:val="17"/>
              </w:rPr>
              <w:t>Implementation of procedure</w:t>
            </w:r>
          </w:p>
          <w:p w14:paraId="6E8A31BD" w14:textId="77777777" w:rsidR="0096009D" w:rsidRPr="008D56F2" w:rsidRDefault="0096009D" w:rsidP="0096009D">
            <w:pPr>
              <w:jc w:val="left"/>
              <w:rPr>
                <w:rFonts w:eastAsia="Calibri"/>
                <w:sz w:val="17"/>
                <w:szCs w:val="17"/>
              </w:rPr>
            </w:pPr>
          </w:p>
        </w:tc>
        <w:tc>
          <w:tcPr>
            <w:tcW w:w="1715" w:type="dxa"/>
          </w:tcPr>
          <w:p w14:paraId="46A31466" w14:textId="77777777" w:rsidR="0096009D" w:rsidRPr="008D56F2" w:rsidRDefault="0096009D" w:rsidP="0096009D">
            <w:pPr>
              <w:jc w:val="left"/>
              <w:rPr>
                <w:sz w:val="17"/>
                <w:szCs w:val="17"/>
              </w:rPr>
            </w:pPr>
          </w:p>
        </w:tc>
      </w:tr>
      <w:tr w:rsidR="0096009D" w:rsidRPr="00A14FB6" w14:paraId="056904B4" w14:textId="77777777" w:rsidTr="0096009D">
        <w:trPr>
          <w:gridAfter w:val="1"/>
          <w:wAfter w:w="64" w:type="dxa"/>
          <w:trHeight w:val="654"/>
        </w:trPr>
        <w:tc>
          <w:tcPr>
            <w:tcW w:w="467" w:type="dxa"/>
          </w:tcPr>
          <w:p w14:paraId="694230DC" w14:textId="77777777" w:rsidR="0096009D" w:rsidRPr="00B86389" w:rsidRDefault="0096009D" w:rsidP="0096009D">
            <w:pPr>
              <w:jc w:val="left"/>
              <w:rPr>
                <w:sz w:val="17"/>
                <w:szCs w:val="17"/>
              </w:rPr>
            </w:pPr>
            <w:r w:rsidRPr="00B53926">
              <w:rPr>
                <w:sz w:val="17"/>
                <w:szCs w:val="17"/>
              </w:rPr>
              <w:t>4.8</w:t>
            </w:r>
          </w:p>
        </w:tc>
        <w:tc>
          <w:tcPr>
            <w:tcW w:w="3215" w:type="dxa"/>
          </w:tcPr>
          <w:p w14:paraId="2B5967D3" w14:textId="77839BA9" w:rsidR="0096009D" w:rsidRPr="008D56F2" w:rsidRDefault="0096009D" w:rsidP="00C9082D">
            <w:pPr>
              <w:jc w:val="left"/>
              <w:rPr>
                <w:rFonts w:eastAsia="Calibri"/>
                <w:sz w:val="17"/>
                <w:szCs w:val="17"/>
              </w:rPr>
            </w:pPr>
            <w:r w:rsidRPr="00B53926">
              <w:rPr>
                <w:sz w:val="17"/>
                <w:szCs w:val="17"/>
              </w:rPr>
              <w:t>The design engineer needs to submit a fire safety report to the DH Company of the thermal insulation material to be used on the Project that confirms its fire performance classification as prescribed to national standards to ensure the fire safety of the buildings.  Supporting documentation confirming material fire rating should be retained post-construction.</w:t>
            </w:r>
            <w:r w:rsidR="00C9082D">
              <w:rPr>
                <w:sz w:val="17"/>
                <w:szCs w:val="17"/>
              </w:rPr>
              <w:t xml:space="preserve"> The report shall confirm that c</w:t>
            </w:r>
            <w:r w:rsidR="00C9082D" w:rsidRPr="00C9082D">
              <w:rPr>
                <w:sz w:val="17"/>
                <w:szCs w:val="17"/>
              </w:rPr>
              <w:t xml:space="preserve">ladding </w:t>
            </w:r>
            <w:r w:rsidR="00C9082D">
              <w:rPr>
                <w:sz w:val="17"/>
                <w:szCs w:val="17"/>
              </w:rPr>
              <w:t>will</w:t>
            </w:r>
            <w:r w:rsidR="00C9082D" w:rsidRPr="00C9082D">
              <w:rPr>
                <w:sz w:val="17"/>
                <w:szCs w:val="17"/>
              </w:rPr>
              <w:t xml:space="preserve"> be non-combustible</w:t>
            </w:r>
            <w:r w:rsidR="00C9082D">
              <w:rPr>
                <w:sz w:val="17"/>
                <w:szCs w:val="17"/>
              </w:rPr>
              <w:t>/fireproof</w:t>
            </w:r>
            <w:r w:rsidR="00C9082D" w:rsidRPr="00C9082D">
              <w:rPr>
                <w:sz w:val="17"/>
                <w:szCs w:val="17"/>
              </w:rPr>
              <w:t xml:space="preserve"> or not pose an unacceptable level of risk to tenants</w:t>
            </w:r>
            <w:r w:rsidR="00C9082D">
              <w:rPr>
                <w:sz w:val="17"/>
                <w:szCs w:val="17"/>
              </w:rPr>
              <w:t>.</w:t>
            </w:r>
          </w:p>
        </w:tc>
        <w:tc>
          <w:tcPr>
            <w:tcW w:w="1700" w:type="dxa"/>
          </w:tcPr>
          <w:p w14:paraId="1FF0E5D1" w14:textId="77777777" w:rsidR="0096009D" w:rsidRPr="008D56F2" w:rsidRDefault="0096009D" w:rsidP="0096009D">
            <w:pPr>
              <w:jc w:val="left"/>
              <w:rPr>
                <w:sz w:val="17"/>
                <w:szCs w:val="17"/>
              </w:rPr>
            </w:pPr>
            <w:r w:rsidRPr="008D56F2">
              <w:rPr>
                <w:sz w:val="17"/>
                <w:szCs w:val="17"/>
              </w:rPr>
              <w:t>Ensuring community health and safety</w:t>
            </w:r>
          </w:p>
          <w:p w14:paraId="77AD466F" w14:textId="77777777" w:rsidR="0096009D" w:rsidRPr="008D56F2" w:rsidRDefault="0096009D" w:rsidP="0096009D">
            <w:pPr>
              <w:jc w:val="left"/>
              <w:rPr>
                <w:rFonts w:eastAsia="Calibri"/>
                <w:sz w:val="17"/>
                <w:szCs w:val="17"/>
              </w:rPr>
            </w:pPr>
          </w:p>
        </w:tc>
        <w:tc>
          <w:tcPr>
            <w:tcW w:w="2268" w:type="dxa"/>
          </w:tcPr>
          <w:p w14:paraId="4D74036A" w14:textId="77777777" w:rsidR="0096009D" w:rsidRPr="008D56F2" w:rsidRDefault="0096009D" w:rsidP="0096009D">
            <w:pPr>
              <w:jc w:val="left"/>
              <w:rPr>
                <w:rFonts w:eastAsia="Calibri"/>
                <w:sz w:val="17"/>
                <w:szCs w:val="17"/>
              </w:rPr>
            </w:pPr>
            <w:r w:rsidRPr="008D56F2">
              <w:rPr>
                <w:sz w:val="17"/>
                <w:szCs w:val="17"/>
              </w:rPr>
              <w:t>EBRD PR4</w:t>
            </w:r>
          </w:p>
        </w:tc>
        <w:tc>
          <w:tcPr>
            <w:tcW w:w="1984" w:type="dxa"/>
          </w:tcPr>
          <w:p w14:paraId="76B3D358" w14:textId="77777777" w:rsidR="0096009D" w:rsidRPr="008D56F2" w:rsidRDefault="0096009D" w:rsidP="0096009D">
            <w:pPr>
              <w:jc w:val="left"/>
              <w:rPr>
                <w:sz w:val="17"/>
                <w:szCs w:val="17"/>
              </w:rPr>
            </w:pPr>
            <w:r w:rsidRPr="008D56F2">
              <w:rPr>
                <w:sz w:val="17"/>
                <w:szCs w:val="17"/>
              </w:rPr>
              <w:t>Toplana-Šabac District Heating Company /   Internal resource</w:t>
            </w:r>
          </w:p>
          <w:p w14:paraId="6BBFCF00" w14:textId="77777777" w:rsidR="0096009D" w:rsidRPr="008D56F2" w:rsidRDefault="0096009D" w:rsidP="0096009D">
            <w:pPr>
              <w:suppressAutoHyphens/>
              <w:jc w:val="left"/>
              <w:rPr>
                <w:rFonts w:eastAsia="Calibri"/>
                <w:sz w:val="17"/>
                <w:szCs w:val="17"/>
              </w:rPr>
            </w:pPr>
            <w:r w:rsidRPr="008D56F2">
              <w:rPr>
                <w:sz w:val="17"/>
                <w:szCs w:val="17"/>
              </w:rPr>
              <w:t>External consultancy</w:t>
            </w:r>
          </w:p>
        </w:tc>
        <w:tc>
          <w:tcPr>
            <w:tcW w:w="1560" w:type="dxa"/>
          </w:tcPr>
          <w:p w14:paraId="387532E7" w14:textId="77777777" w:rsidR="0096009D" w:rsidRPr="008D56F2" w:rsidRDefault="0096009D" w:rsidP="0096009D">
            <w:pPr>
              <w:jc w:val="left"/>
              <w:rPr>
                <w:rFonts w:eastAsia="Calibri"/>
                <w:sz w:val="17"/>
                <w:szCs w:val="17"/>
              </w:rPr>
            </w:pPr>
            <w:r w:rsidRPr="008D56F2">
              <w:rPr>
                <w:sz w:val="17"/>
                <w:szCs w:val="17"/>
              </w:rPr>
              <w:t>Prior to procuring the insulation panels</w:t>
            </w:r>
          </w:p>
        </w:tc>
        <w:tc>
          <w:tcPr>
            <w:tcW w:w="1882" w:type="dxa"/>
          </w:tcPr>
          <w:p w14:paraId="032EA429" w14:textId="77777777" w:rsidR="0096009D" w:rsidRPr="008D56F2" w:rsidRDefault="0096009D" w:rsidP="0096009D">
            <w:pPr>
              <w:jc w:val="left"/>
              <w:rPr>
                <w:rFonts w:eastAsia="Calibri"/>
                <w:sz w:val="17"/>
                <w:szCs w:val="17"/>
              </w:rPr>
            </w:pPr>
            <w:r w:rsidRPr="008D56F2">
              <w:rPr>
                <w:sz w:val="17"/>
                <w:szCs w:val="17"/>
              </w:rPr>
              <w:t>Fire safety report confirming fire-rating of the insulation material</w:t>
            </w:r>
          </w:p>
        </w:tc>
        <w:tc>
          <w:tcPr>
            <w:tcW w:w="1715" w:type="dxa"/>
          </w:tcPr>
          <w:p w14:paraId="2F5C5D03" w14:textId="77777777" w:rsidR="0096009D" w:rsidRPr="008D56F2" w:rsidRDefault="0096009D" w:rsidP="0096009D">
            <w:pPr>
              <w:jc w:val="left"/>
              <w:rPr>
                <w:sz w:val="17"/>
                <w:szCs w:val="17"/>
              </w:rPr>
            </w:pPr>
          </w:p>
        </w:tc>
      </w:tr>
      <w:tr w:rsidR="0096009D" w:rsidRPr="00A14FB6" w14:paraId="1D48D030" w14:textId="77777777" w:rsidTr="0096009D">
        <w:trPr>
          <w:gridAfter w:val="1"/>
          <w:wAfter w:w="64" w:type="dxa"/>
          <w:trHeight w:val="471"/>
        </w:trPr>
        <w:tc>
          <w:tcPr>
            <w:tcW w:w="14791" w:type="dxa"/>
            <w:gridSpan w:val="8"/>
            <w:vAlign w:val="center"/>
          </w:tcPr>
          <w:p w14:paraId="28E611E2" w14:textId="77777777" w:rsidR="0096009D" w:rsidRPr="008D56F2" w:rsidRDefault="0096009D" w:rsidP="0096009D">
            <w:pPr>
              <w:jc w:val="left"/>
              <w:rPr>
                <w:sz w:val="17"/>
                <w:szCs w:val="17"/>
              </w:rPr>
            </w:pPr>
            <w:r w:rsidRPr="008D56F2">
              <w:rPr>
                <w:b/>
                <w:i/>
                <w:sz w:val="17"/>
                <w:szCs w:val="17"/>
              </w:rPr>
              <w:t>PR 5: Land Acquisition, Involuntary Resettlement and Economic Displacement</w:t>
            </w:r>
          </w:p>
        </w:tc>
      </w:tr>
      <w:tr w:rsidR="00460C53" w:rsidRPr="00A14FB6" w14:paraId="5C62A5FB" w14:textId="77777777" w:rsidTr="005B2153">
        <w:trPr>
          <w:gridAfter w:val="1"/>
          <w:wAfter w:w="64" w:type="dxa"/>
          <w:trHeight w:val="654"/>
        </w:trPr>
        <w:tc>
          <w:tcPr>
            <w:tcW w:w="467" w:type="dxa"/>
          </w:tcPr>
          <w:p w14:paraId="0D67870D" w14:textId="021CF0AD" w:rsidR="00460C53" w:rsidRPr="00B86389" w:rsidRDefault="000673F5" w:rsidP="00460C53">
            <w:pPr>
              <w:rPr>
                <w:sz w:val="17"/>
                <w:szCs w:val="17"/>
              </w:rPr>
            </w:pPr>
            <w:r>
              <w:rPr>
                <w:sz w:val="17"/>
                <w:szCs w:val="17"/>
              </w:rPr>
              <w:t>5.1</w:t>
            </w:r>
          </w:p>
        </w:tc>
        <w:tc>
          <w:tcPr>
            <w:tcW w:w="3215" w:type="dxa"/>
          </w:tcPr>
          <w:p w14:paraId="0EF78E25" w14:textId="77777777" w:rsidR="00460C53" w:rsidRDefault="00460C53">
            <w:pPr>
              <w:jc w:val="left"/>
              <w:rPr>
                <w:sz w:val="17"/>
                <w:szCs w:val="17"/>
              </w:rPr>
            </w:pPr>
            <w:r>
              <w:rPr>
                <w:sz w:val="17"/>
                <w:szCs w:val="17"/>
              </w:rPr>
              <w:t xml:space="preserve">Review </w:t>
            </w:r>
            <w:r w:rsidRPr="00C52F27">
              <w:rPr>
                <w:sz w:val="17"/>
                <w:szCs w:val="17"/>
              </w:rPr>
              <w:t>CEMP</w:t>
            </w:r>
            <w:r>
              <w:rPr>
                <w:sz w:val="17"/>
                <w:szCs w:val="17"/>
              </w:rPr>
              <w:t>’s to</w:t>
            </w:r>
            <w:r w:rsidRPr="00C52F27">
              <w:rPr>
                <w:sz w:val="17"/>
                <w:szCs w:val="17"/>
              </w:rPr>
              <w:t xml:space="preserve"> ensure that all entrances/exits to buildings are not blocked by scaffolding, fire exits remain </w:t>
            </w:r>
            <w:r w:rsidRPr="00C52F27">
              <w:rPr>
                <w:sz w:val="17"/>
                <w:szCs w:val="17"/>
              </w:rPr>
              <w:lastRenderedPageBreak/>
              <w:t>open (or temporary routes defined), business entrances remain open and accessible, and disability access is not impaired.</w:t>
            </w:r>
            <w:r w:rsidR="00860246">
              <w:rPr>
                <w:sz w:val="17"/>
                <w:szCs w:val="17"/>
              </w:rPr>
              <w:t xml:space="preserve"> Ensure CEMP provides stipulation to suitably inform the community of temporary access changes. </w:t>
            </w:r>
          </w:p>
          <w:p w14:paraId="48863424" w14:textId="4D35ABFC" w:rsidR="00C9082D" w:rsidRPr="008D56F2" w:rsidRDefault="00C9082D" w:rsidP="00C9082D">
            <w:pPr>
              <w:jc w:val="left"/>
              <w:rPr>
                <w:rFonts w:eastAsia="Calibri"/>
                <w:sz w:val="17"/>
                <w:szCs w:val="17"/>
              </w:rPr>
            </w:pPr>
            <w:r>
              <w:rPr>
                <w:sz w:val="17"/>
                <w:szCs w:val="17"/>
              </w:rPr>
              <w:t xml:space="preserve">Where access to garage is affected, the DH Company will support the affected people to access to alternative </w:t>
            </w:r>
            <w:r w:rsidRPr="00C9082D">
              <w:rPr>
                <w:sz w:val="17"/>
                <w:szCs w:val="17"/>
              </w:rPr>
              <w:t>free on-street parking</w:t>
            </w:r>
            <w:r>
              <w:rPr>
                <w:sz w:val="17"/>
                <w:szCs w:val="17"/>
              </w:rPr>
              <w:t>.</w:t>
            </w:r>
          </w:p>
        </w:tc>
        <w:tc>
          <w:tcPr>
            <w:tcW w:w="1700" w:type="dxa"/>
          </w:tcPr>
          <w:p w14:paraId="5F8B253D" w14:textId="720BFA77" w:rsidR="00460C53" w:rsidRPr="008D56F2" w:rsidRDefault="00460C53" w:rsidP="00460C53">
            <w:pPr>
              <w:jc w:val="left"/>
              <w:rPr>
                <w:rFonts w:eastAsia="Calibri"/>
                <w:sz w:val="17"/>
                <w:szCs w:val="17"/>
              </w:rPr>
            </w:pPr>
            <w:r>
              <w:rPr>
                <w:rFonts w:eastAsia="Calibri"/>
                <w:sz w:val="17"/>
                <w:szCs w:val="17"/>
              </w:rPr>
              <w:lastRenderedPageBreak/>
              <w:t xml:space="preserve">Ensuring access to buildings and shops is maintained for all </w:t>
            </w:r>
            <w:r>
              <w:rPr>
                <w:rFonts w:eastAsia="Calibri"/>
                <w:sz w:val="17"/>
                <w:szCs w:val="17"/>
              </w:rPr>
              <w:lastRenderedPageBreak/>
              <w:t>residents, businesses and pedestrians.</w:t>
            </w:r>
          </w:p>
        </w:tc>
        <w:tc>
          <w:tcPr>
            <w:tcW w:w="2268" w:type="dxa"/>
          </w:tcPr>
          <w:p w14:paraId="78207F08" w14:textId="525ECCA0" w:rsidR="00460C53" w:rsidRPr="008D56F2" w:rsidRDefault="00460C53" w:rsidP="00460C53">
            <w:pPr>
              <w:jc w:val="left"/>
              <w:rPr>
                <w:rFonts w:eastAsia="Calibri"/>
                <w:sz w:val="17"/>
                <w:szCs w:val="17"/>
              </w:rPr>
            </w:pPr>
            <w:r>
              <w:rPr>
                <w:rFonts w:eastAsia="Calibri"/>
                <w:sz w:val="17"/>
                <w:szCs w:val="17"/>
              </w:rPr>
              <w:lastRenderedPageBreak/>
              <w:t>EBRD PR5</w:t>
            </w:r>
          </w:p>
        </w:tc>
        <w:tc>
          <w:tcPr>
            <w:tcW w:w="1984" w:type="dxa"/>
          </w:tcPr>
          <w:p w14:paraId="36FEB4B4" w14:textId="77777777" w:rsidR="00460C53" w:rsidRPr="008D56F2" w:rsidRDefault="00460C53" w:rsidP="00460C53">
            <w:pPr>
              <w:jc w:val="left"/>
              <w:rPr>
                <w:sz w:val="17"/>
                <w:szCs w:val="17"/>
              </w:rPr>
            </w:pPr>
            <w:r w:rsidRPr="008D56F2">
              <w:rPr>
                <w:sz w:val="17"/>
                <w:szCs w:val="17"/>
              </w:rPr>
              <w:t>Internal resource</w:t>
            </w:r>
          </w:p>
          <w:p w14:paraId="11B64900" w14:textId="646738CD" w:rsidR="00460C53" w:rsidRPr="008D56F2" w:rsidRDefault="00460C53" w:rsidP="00460C53">
            <w:pPr>
              <w:suppressAutoHyphens/>
              <w:jc w:val="left"/>
              <w:rPr>
                <w:rFonts w:eastAsia="Calibri"/>
                <w:sz w:val="17"/>
                <w:szCs w:val="17"/>
              </w:rPr>
            </w:pPr>
            <w:r w:rsidRPr="008D56F2">
              <w:rPr>
                <w:sz w:val="17"/>
                <w:szCs w:val="17"/>
              </w:rPr>
              <w:t xml:space="preserve">Liaison with </w:t>
            </w:r>
            <w:r>
              <w:rPr>
                <w:sz w:val="17"/>
                <w:szCs w:val="17"/>
              </w:rPr>
              <w:t>contractors</w:t>
            </w:r>
          </w:p>
        </w:tc>
        <w:tc>
          <w:tcPr>
            <w:tcW w:w="1560" w:type="dxa"/>
          </w:tcPr>
          <w:p w14:paraId="191B387A" w14:textId="33A4402B" w:rsidR="00460C53" w:rsidRPr="008D56F2" w:rsidRDefault="00460C53" w:rsidP="00460C53">
            <w:pPr>
              <w:jc w:val="left"/>
              <w:rPr>
                <w:rFonts w:eastAsia="Calibri"/>
                <w:sz w:val="17"/>
                <w:szCs w:val="17"/>
              </w:rPr>
            </w:pPr>
            <w:r w:rsidRPr="008D56F2">
              <w:rPr>
                <w:sz w:val="17"/>
                <w:szCs w:val="17"/>
              </w:rPr>
              <w:t xml:space="preserve">Prior to construction </w:t>
            </w:r>
          </w:p>
        </w:tc>
        <w:tc>
          <w:tcPr>
            <w:tcW w:w="1882" w:type="dxa"/>
          </w:tcPr>
          <w:p w14:paraId="445271FE" w14:textId="4282161E" w:rsidR="00460C53" w:rsidRPr="008D56F2" w:rsidRDefault="00460C53" w:rsidP="00460C53">
            <w:pPr>
              <w:jc w:val="left"/>
              <w:rPr>
                <w:rFonts w:eastAsia="Calibri"/>
                <w:sz w:val="17"/>
                <w:szCs w:val="17"/>
              </w:rPr>
            </w:pPr>
            <w:r>
              <w:rPr>
                <w:rFonts w:eastAsia="Calibri"/>
                <w:sz w:val="17"/>
                <w:szCs w:val="17"/>
              </w:rPr>
              <w:t xml:space="preserve">No complaints </w:t>
            </w:r>
            <w:r w:rsidR="00860246">
              <w:rPr>
                <w:rFonts w:eastAsia="Calibri"/>
                <w:sz w:val="17"/>
                <w:szCs w:val="17"/>
              </w:rPr>
              <w:t xml:space="preserve">received </w:t>
            </w:r>
            <w:r>
              <w:rPr>
                <w:rFonts w:eastAsia="Calibri"/>
                <w:sz w:val="17"/>
                <w:szCs w:val="17"/>
              </w:rPr>
              <w:t xml:space="preserve">regarding access. </w:t>
            </w:r>
          </w:p>
        </w:tc>
        <w:tc>
          <w:tcPr>
            <w:tcW w:w="1715" w:type="dxa"/>
          </w:tcPr>
          <w:p w14:paraId="29EBF6AA" w14:textId="77777777" w:rsidR="00460C53" w:rsidRPr="008D56F2" w:rsidRDefault="00460C53" w:rsidP="00460C53">
            <w:pPr>
              <w:jc w:val="left"/>
              <w:rPr>
                <w:sz w:val="17"/>
                <w:szCs w:val="17"/>
              </w:rPr>
            </w:pPr>
          </w:p>
        </w:tc>
      </w:tr>
      <w:tr w:rsidR="00460C53" w:rsidRPr="00A14FB6" w14:paraId="75F4D5F2" w14:textId="77777777" w:rsidTr="0096009D">
        <w:trPr>
          <w:gridAfter w:val="1"/>
          <w:wAfter w:w="64" w:type="dxa"/>
          <w:trHeight w:val="471"/>
        </w:trPr>
        <w:tc>
          <w:tcPr>
            <w:tcW w:w="14791" w:type="dxa"/>
            <w:gridSpan w:val="8"/>
            <w:vAlign w:val="center"/>
          </w:tcPr>
          <w:p w14:paraId="4F86804C" w14:textId="77777777" w:rsidR="00460C53" w:rsidRPr="008D56F2" w:rsidRDefault="00460C53" w:rsidP="00460C53">
            <w:pPr>
              <w:jc w:val="left"/>
              <w:rPr>
                <w:sz w:val="17"/>
                <w:szCs w:val="17"/>
              </w:rPr>
            </w:pPr>
            <w:r w:rsidRPr="008D56F2">
              <w:rPr>
                <w:b/>
                <w:i/>
                <w:sz w:val="17"/>
                <w:szCs w:val="17"/>
              </w:rPr>
              <w:lastRenderedPageBreak/>
              <w:t>PR 10: Information Disclosure and Stakeholder Engagement</w:t>
            </w:r>
          </w:p>
        </w:tc>
      </w:tr>
      <w:tr w:rsidR="00460C53" w:rsidRPr="00A14FB6" w14:paraId="006121E8" w14:textId="77777777" w:rsidTr="005B2153">
        <w:trPr>
          <w:gridAfter w:val="1"/>
          <w:wAfter w:w="64" w:type="dxa"/>
          <w:trHeight w:val="654"/>
        </w:trPr>
        <w:tc>
          <w:tcPr>
            <w:tcW w:w="467" w:type="dxa"/>
          </w:tcPr>
          <w:p w14:paraId="4CC0AC29" w14:textId="77777777" w:rsidR="00460C53" w:rsidRPr="00B86389" w:rsidRDefault="00460C53" w:rsidP="00460C53">
            <w:pPr>
              <w:rPr>
                <w:sz w:val="17"/>
                <w:szCs w:val="17"/>
              </w:rPr>
            </w:pPr>
            <w:r w:rsidRPr="00A14FB6">
              <w:rPr>
                <w:rFonts w:eastAsia="Calibri"/>
                <w:color w:val="1E252B"/>
                <w:sz w:val="16"/>
                <w:szCs w:val="16"/>
              </w:rPr>
              <w:t>10.1</w:t>
            </w:r>
          </w:p>
        </w:tc>
        <w:tc>
          <w:tcPr>
            <w:tcW w:w="3215" w:type="dxa"/>
          </w:tcPr>
          <w:p w14:paraId="1699757E" w14:textId="5170A15F" w:rsidR="00460C53" w:rsidRPr="008D56F2" w:rsidRDefault="00460C53" w:rsidP="00460C53">
            <w:pPr>
              <w:jc w:val="left"/>
              <w:rPr>
                <w:rFonts w:eastAsia="Calibri"/>
                <w:sz w:val="17"/>
                <w:szCs w:val="17"/>
              </w:rPr>
            </w:pPr>
            <w:r>
              <w:rPr>
                <w:rFonts w:eastAsia="Calibri"/>
                <w:sz w:val="16"/>
                <w:szCs w:val="16"/>
              </w:rPr>
              <w:t xml:space="preserve">Implementation </w:t>
            </w:r>
            <w:r w:rsidRPr="008D56F2">
              <w:rPr>
                <w:rFonts w:eastAsia="Calibri"/>
                <w:sz w:val="16"/>
                <w:szCs w:val="16"/>
              </w:rPr>
              <w:t xml:space="preserve"> of the SEP and grievance mechanism to ensure a continuous and systematic stakeholder engagement programme</w:t>
            </w:r>
            <w:r>
              <w:rPr>
                <w:rFonts w:eastAsia="Calibri"/>
                <w:sz w:val="16"/>
                <w:szCs w:val="16"/>
              </w:rPr>
              <w:t>. Cascade relevant provisions of SEP to Contractors through tender documentation.</w:t>
            </w:r>
          </w:p>
        </w:tc>
        <w:tc>
          <w:tcPr>
            <w:tcW w:w="1700" w:type="dxa"/>
          </w:tcPr>
          <w:p w14:paraId="183D1906" w14:textId="77777777" w:rsidR="00460C53" w:rsidRPr="008D56F2" w:rsidRDefault="00460C53" w:rsidP="00460C53">
            <w:pPr>
              <w:jc w:val="left"/>
              <w:rPr>
                <w:rFonts w:eastAsia="Calibri"/>
                <w:sz w:val="17"/>
                <w:szCs w:val="17"/>
              </w:rPr>
            </w:pPr>
            <w:r w:rsidRPr="008D56F2">
              <w:rPr>
                <w:sz w:val="16"/>
                <w:szCs w:val="16"/>
              </w:rPr>
              <w:t>Development of a trusting relationship with the host community and broader stakeholders,</w:t>
            </w:r>
          </w:p>
        </w:tc>
        <w:tc>
          <w:tcPr>
            <w:tcW w:w="2268" w:type="dxa"/>
          </w:tcPr>
          <w:p w14:paraId="7AF5C222" w14:textId="77777777" w:rsidR="00460C53" w:rsidRPr="008D56F2" w:rsidRDefault="00460C53" w:rsidP="00460C53">
            <w:pPr>
              <w:jc w:val="left"/>
              <w:rPr>
                <w:rFonts w:eastAsia="Calibri"/>
                <w:sz w:val="17"/>
                <w:szCs w:val="17"/>
              </w:rPr>
            </w:pPr>
            <w:r w:rsidRPr="008D56F2">
              <w:rPr>
                <w:rFonts w:eastAsia="Calibri"/>
                <w:sz w:val="16"/>
                <w:szCs w:val="16"/>
              </w:rPr>
              <w:t>EBRD PR10</w:t>
            </w:r>
          </w:p>
        </w:tc>
        <w:tc>
          <w:tcPr>
            <w:tcW w:w="1984" w:type="dxa"/>
          </w:tcPr>
          <w:p w14:paraId="41259314" w14:textId="77777777" w:rsidR="00460C53" w:rsidRPr="008D56F2" w:rsidRDefault="00460C53" w:rsidP="00460C53">
            <w:pPr>
              <w:spacing w:after="120"/>
              <w:jc w:val="left"/>
              <w:rPr>
                <w:rFonts w:eastAsia="Calibri"/>
                <w:sz w:val="16"/>
                <w:szCs w:val="16"/>
              </w:rPr>
            </w:pPr>
            <w:r w:rsidRPr="008D56F2">
              <w:rPr>
                <w:rFonts w:eastAsia="Calibri"/>
                <w:sz w:val="16"/>
                <w:szCs w:val="16"/>
              </w:rPr>
              <w:t xml:space="preserve">Own resources </w:t>
            </w:r>
          </w:p>
          <w:p w14:paraId="59884280" w14:textId="77777777" w:rsidR="00460C53" w:rsidRPr="008D56F2" w:rsidRDefault="00460C53" w:rsidP="00460C53">
            <w:pPr>
              <w:suppressAutoHyphens/>
              <w:jc w:val="left"/>
              <w:rPr>
                <w:rFonts w:eastAsia="Calibri"/>
                <w:sz w:val="17"/>
                <w:szCs w:val="17"/>
              </w:rPr>
            </w:pPr>
          </w:p>
        </w:tc>
        <w:tc>
          <w:tcPr>
            <w:tcW w:w="1560" w:type="dxa"/>
          </w:tcPr>
          <w:p w14:paraId="5B6C1957" w14:textId="77777777" w:rsidR="00460C53" w:rsidRPr="008D56F2" w:rsidRDefault="00460C53" w:rsidP="00460C53">
            <w:pPr>
              <w:spacing w:after="120"/>
              <w:rPr>
                <w:rFonts w:eastAsia="Calibri"/>
                <w:sz w:val="16"/>
                <w:szCs w:val="16"/>
              </w:rPr>
            </w:pPr>
            <w:r w:rsidRPr="008D56F2">
              <w:rPr>
                <w:rFonts w:eastAsia="Calibri"/>
                <w:sz w:val="16"/>
                <w:szCs w:val="16"/>
              </w:rPr>
              <w:t xml:space="preserve">SEP developed by WSP. </w:t>
            </w:r>
          </w:p>
          <w:p w14:paraId="5D150D93" w14:textId="77777777" w:rsidR="00460C53" w:rsidRPr="008D56F2" w:rsidRDefault="00460C53" w:rsidP="00460C53">
            <w:pPr>
              <w:jc w:val="left"/>
              <w:rPr>
                <w:rFonts w:eastAsia="Calibri"/>
                <w:sz w:val="17"/>
                <w:szCs w:val="17"/>
              </w:rPr>
            </w:pPr>
            <w:r w:rsidRPr="008D56F2">
              <w:rPr>
                <w:rFonts w:eastAsia="Calibri"/>
                <w:sz w:val="16"/>
                <w:szCs w:val="16"/>
              </w:rPr>
              <w:t>To be fully implemented prior to commencement of the phases detailed in the SEP.</w:t>
            </w:r>
          </w:p>
        </w:tc>
        <w:tc>
          <w:tcPr>
            <w:tcW w:w="1882" w:type="dxa"/>
          </w:tcPr>
          <w:p w14:paraId="0BB69A9F" w14:textId="77777777" w:rsidR="00460C53" w:rsidRPr="008D56F2" w:rsidRDefault="00460C53" w:rsidP="00460C53">
            <w:pPr>
              <w:suppressAutoHyphens/>
              <w:jc w:val="left"/>
              <w:rPr>
                <w:rFonts w:eastAsia="Calibri"/>
                <w:b/>
                <w:sz w:val="16"/>
                <w:szCs w:val="16"/>
              </w:rPr>
            </w:pPr>
            <w:r w:rsidRPr="008D56F2">
              <w:rPr>
                <w:rFonts w:eastAsia="Calibri"/>
                <w:sz w:val="16"/>
                <w:szCs w:val="16"/>
              </w:rPr>
              <w:t>Adopted SEP (mainatianed as live working document)</w:t>
            </w:r>
          </w:p>
          <w:p w14:paraId="77566D8C" w14:textId="77777777" w:rsidR="00460C53" w:rsidRPr="008D56F2" w:rsidRDefault="00460C53" w:rsidP="00460C53">
            <w:pPr>
              <w:suppressAutoHyphens/>
              <w:jc w:val="left"/>
              <w:rPr>
                <w:rFonts w:eastAsia="Calibri"/>
                <w:b/>
                <w:sz w:val="16"/>
                <w:szCs w:val="16"/>
              </w:rPr>
            </w:pPr>
          </w:p>
          <w:p w14:paraId="49B57F02" w14:textId="77777777" w:rsidR="00460C53" w:rsidRPr="008D56F2" w:rsidRDefault="00460C53" w:rsidP="00460C53">
            <w:pPr>
              <w:jc w:val="left"/>
              <w:rPr>
                <w:rFonts w:eastAsia="Calibri"/>
                <w:sz w:val="17"/>
                <w:szCs w:val="17"/>
              </w:rPr>
            </w:pPr>
            <w:r w:rsidRPr="008D56F2">
              <w:rPr>
                <w:rFonts w:eastAsia="Calibri"/>
                <w:sz w:val="16"/>
                <w:szCs w:val="16"/>
                <w:lang w:eastAsia="bg-BG"/>
              </w:rPr>
              <w:t>Grievance and suggestions log and resolution records.</w:t>
            </w:r>
          </w:p>
        </w:tc>
        <w:tc>
          <w:tcPr>
            <w:tcW w:w="1715" w:type="dxa"/>
          </w:tcPr>
          <w:p w14:paraId="52D63FF9" w14:textId="77777777" w:rsidR="00460C53" w:rsidRPr="008D56F2" w:rsidRDefault="00460C53" w:rsidP="00460C53">
            <w:pPr>
              <w:jc w:val="left"/>
              <w:rPr>
                <w:sz w:val="17"/>
                <w:szCs w:val="17"/>
              </w:rPr>
            </w:pPr>
          </w:p>
        </w:tc>
      </w:tr>
      <w:tr w:rsidR="00401A74" w:rsidRPr="00A14FB6" w14:paraId="1A7C3739" w14:textId="77777777" w:rsidTr="005B2153">
        <w:trPr>
          <w:gridAfter w:val="1"/>
          <w:wAfter w:w="64" w:type="dxa"/>
          <w:trHeight w:val="654"/>
        </w:trPr>
        <w:tc>
          <w:tcPr>
            <w:tcW w:w="467" w:type="dxa"/>
          </w:tcPr>
          <w:p w14:paraId="2D8504E7" w14:textId="3BE8A5DA" w:rsidR="00401A74" w:rsidRPr="00A14FB6" w:rsidRDefault="00401A74" w:rsidP="00460C53">
            <w:pPr>
              <w:rPr>
                <w:rFonts w:eastAsia="Calibri"/>
                <w:color w:val="1E252B"/>
                <w:sz w:val="16"/>
                <w:szCs w:val="16"/>
              </w:rPr>
            </w:pPr>
            <w:r>
              <w:rPr>
                <w:rFonts w:eastAsia="Calibri"/>
                <w:color w:val="1E252B"/>
                <w:sz w:val="16"/>
                <w:szCs w:val="16"/>
              </w:rPr>
              <w:t>10.2</w:t>
            </w:r>
          </w:p>
        </w:tc>
        <w:tc>
          <w:tcPr>
            <w:tcW w:w="3215" w:type="dxa"/>
          </w:tcPr>
          <w:p w14:paraId="23EE9309" w14:textId="77777777" w:rsidR="00401A74" w:rsidRDefault="00401A74" w:rsidP="00460C53">
            <w:pPr>
              <w:jc w:val="left"/>
              <w:rPr>
                <w:rFonts w:eastAsia="Calibri"/>
                <w:sz w:val="16"/>
                <w:szCs w:val="16"/>
              </w:rPr>
            </w:pPr>
            <w:r>
              <w:rPr>
                <w:rFonts w:eastAsia="Calibri"/>
                <w:sz w:val="16"/>
                <w:szCs w:val="16"/>
              </w:rPr>
              <w:t xml:space="preserve">Develop a complete list of affected residents and business owners. Ensure that each resident is represented by an elected housing representative (volunteer or professional). </w:t>
            </w:r>
          </w:p>
          <w:p w14:paraId="6319DAAC" w14:textId="31C51F51" w:rsidR="00401A74" w:rsidRPr="008D56F2" w:rsidDel="006F2A5B" w:rsidRDefault="00401A74" w:rsidP="00460C53">
            <w:pPr>
              <w:jc w:val="left"/>
              <w:rPr>
                <w:rFonts w:eastAsia="Calibri"/>
                <w:sz w:val="16"/>
                <w:szCs w:val="16"/>
              </w:rPr>
            </w:pPr>
          </w:p>
        </w:tc>
        <w:tc>
          <w:tcPr>
            <w:tcW w:w="1700" w:type="dxa"/>
          </w:tcPr>
          <w:p w14:paraId="71E6E0A2" w14:textId="3B2F7119" w:rsidR="00401A74" w:rsidRPr="008D56F2" w:rsidRDefault="00401A74" w:rsidP="00460C53">
            <w:pPr>
              <w:jc w:val="left"/>
              <w:rPr>
                <w:sz w:val="16"/>
                <w:szCs w:val="16"/>
              </w:rPr>
            </w:pPr>
            <w:r>
              <w:rPr>
                <w:rFonts w:eastAsia="Calibri"/>
                <w:sz w:val="16"/>
                <w:szCs w:val="16"/>
              </w:rPr>
              <w:t>Ensure that all residents attend meetings with the representatives at least once, confirming that Project information has been appropriately disclosed.</w:t>
            </w:r>
          </w:p>
        </w:tc>
        <w:tc>
          <w:tcPr>
            <w:tcW w:w="2268" w:type="dxa"/>
          </w:tcPr>
          <w:p w14:paraId="41449320" w14:textId="24B1FE73" w:rsidR="00401A74" w:rsidRPr="008D56F2" w:rsidRDefault="00401A74" w:rsidP="00460C53">
            <w:pPr>
              <w:jc w:val="left"/>
              <w:rPr>
                <w:rFonts w:eastAsia="Calibri"/>
                <w:sz w:val="16"/>
                <w:szCs w:val="16"/>
              </w:rPr>
            </w:pPr>
            <w:r>
              <w:rPr>
                <w:rFonts w:eastAsia="Calibri"/>
                <w:sz w:val="16"/>
                <w:szCs w:val="16"/>
              </w:rPr>
              <w:t xml:space="preserve">EBRD PR10 </w:t>
            </w:r>
          </w:p>
        </w:tc>
        <w:tc>
          <w:tcPr>
            <w:tcW w:w="1984" w:type="dxa"/>
          </w:tcPr>
          <w:p w14:paraId="7ECCF83B" w14:textId="24E004EA" w:rsidR="00401A74" w:rsidRPr="008D56F2" w:rsidRDefault="00401A74" w:rsidP="00460C53">
            <w:pPr>
              <w:spacing w:after="120"/>
              <w:jc w:val="left"/>
              <w:rPr>
                <w:rFonts w:eastAsia="Calibri"/>
                <w:sz w:val="16"/>
                <w:szCs w:val="16"/>
              </w:rPr>
            </w:pPr>
            <w:r>
              <w:rPr>
                <w:rFonts w:eastAsia="Calibri"/>
                <w:sz w:val="16"/>
                <w:szCs w:val="16"/>
              </w:rPr>
              <w:t xml:space="preserve">Own resources </w:t>
            </w:r>
          </w:p>
        </w:tc>
        <w:tc>
          <w:tcPr>
            <w:tcW w:w="1560" w:type="dxa"/>
          </w:tcPr>
          <w:p w14:paraId="185BE5D3" w14:textId="3CCA110B" w:rsidR="00401A74" w:rsidRPr="008D56F2" w:rsidRDefault="00401A74" w:rsidP="00460C53">
            <w:pPr>
              <w:spacing w:after="120"/>
              <w:rPr>
                <w:rFonts w:eastAsia="Calibri"/>
                <w:sz w:val="16"/>
                <w:szCs w:val="16"/>
              </w:rPr>
            </w:pPr>
            <w:r>
              <w:rPr>
                <w:rFonts w:eastAsia="Calibri"/>
                <w:sz w:val="16"/>
                <w:szCs w:val="16"/>
              </w:rPr>
              <w:t xml:space="preserve">To be completed immediately, pre-construction. </w:t>
            </w:r>
          </w:p>
        </w:tc>
        <w:tc>
          <w:tcPr>
            <w:tcW w:w="1882" w:type="dxa"/>
          </w:tcPr>
          <w:p w14:paraId="188C82D5" w14:textId="479FFA4D" w:rsidR="00401A74" w:rsidRPr="008D56F2" w:rsidRDefault="00401A74" w:rsidP="00460C53">
            <w:pPr>
              <w:suppressAutoHyphens/>
              <w:jc w:val="left"/>
              <w:rPr>
                <w:rFonts w:eastAsia="Calibri"/>
                <w:sz w:val="16"/>
                <w:szCs w:val="16"/>
              </w:rPr>
            </w:pPr>
            <w:r>
              <w:rPr>
                <w:rFonts w:eastAsia="Calibri"/>
                <w:sz w:val="16"/>
                <w:szCs w:val="16"/>
              </w:rPr>
              <w:t>Full list of residents and business owners</w:t>
            </w:r>
          </w:p>
        </w:tc>
        <w:tc>
          <w:tcPr>
            <w:tcW w:w="1715" w:type="dxa"/>
          </w:tcPr>
          <w:p w14:paraId="6183DB2D" w14:textId="77777777" w:rsidR="00401A74" w:rsidRPr="008D56F2" w:rsidRDefault="00401A74" w:rsidP="00460C53">
            <w:pPr>
              <w:jc w:val="left"/>
              <w:rPr>
                <w:sz w:val="17"/>
                <w:szCs w:val="17"/>
              </w:rPr>
            </w:pPr>
          </w:p>
        </w:tc>
      </w:tr>
    </w:tbl>
    <w:p w14:paraId="295E6AB8" w14:textId="77777777" w:rsidR="005B2153" w:rsidRDefault="005B2153"/>
    <w:p w14:paraId="2630D97B" w14:textId="77777777" w:rsidR="00651156" w:rsidRPr="00A14FB6" w:rsidRDefault="00651156">
      <w:pPr>
        <w:rPr>
          <w:sz w:val="18"/>
          <w:szCs w:val="18"/>
        </w:rPr>
      </w:pPr>
    </w:p>
    <w:sectPr w:rsidR="00651156" w:rsidRPr="00A14FB6">
      <w:pgSz w:w="16838" w:h="11906" w:orient="landscape"/>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14143B" w15:done="0"/>
  <w15:commentEx w15:paraId="2C611FA7" w15:paraIdParent="3B14143B" w15:done="0"/>
  <w15:commentEx w15:paraId="0C58FF64" w15:done="0"/>
  <w15:commentEx w15:paraId="4D4A5EA4" w15:done="0"/>
  <w15:commentEx w15:paraId="6F1A5C01" w15:paraIdParent="4D4A5EA4" w15:done="0"/>
  <w15:commentEx w15:paraId="391DA613" w15:done="0"/>
  <w15:commentEx w15:paraId="41790157" w15:done="0"/>
  <w15:commentEx w15:paraId="4CA4BFF8" w15:paraIdParent="41790157" w15:done="0"/>
  <w15:commentEx w15:paraId="5A3549A9" w15:done="0"/>
  <w15:commentEx w15:paraId="4957B72E" w15:done="0"/>
  <w15:commentEx w15:paraId="2DF0DB69" w15:paraIdParent="4957B72E" w15:done="0"/>
  <w15:commentEx w15:paraId="451B30EF" w15:done="0"/>
  <w15:commentEx w15:paraId="271FEAE2" w15:paraIdParent="451B30EF" w15:done="0"/>
  <w15:commentEx w15:paraId="3F3116C4" w15:done="0"/>
  <w15:commentEx w15:paraId="54392A6F" w15:paraIdParent="3F3116C4" w15:done="0"/>
  <w15:commentEx w15:paraId="59434427" w15:done="0"/>
  <w15:commentEx w15:paraId="4DD08D93" w15:paraIdParent="59434427" w15:done="0"/>
  <w15:commentEx w15:paraId="049A7C0A" w15:done="0"/>
  <w15:commentEx w15:paraId="6A5903A7" w15:paraIdParent="049A7C0A" w15:done="0"/>
  <w15:commentEx w15:paraId="359546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4143B" w16cid:durableId="20891174"/>
  <w16cid:commentId w16cid:paraId="2C611FA7" w16cid:durableId="2089156D"/>
  <w16cid:commentId w16cid:paraId="0C58FF64" w16cid:durableId="20891175"/>
  <w16cid:commentId w16cid:paraId="4D4A5EA4" w16cid:durableId="20891176"/>
  <w16cid:commentId w16cid:paraId="6F1A5C01" w16cid:durableId="20891523"/>
  <w16cid:commentId w16cid:paraId="391DA613" w16cid:durableId="20891177"/>
  <w16cid:commentId w16cid:paraId="41790157" w16cid:durableId="20891178"/>
  <w16cid:commentId w16cid:paraId="4CA4BFF8" w16cid:durableId="20891B4F"/>
  <w16cid:commentId w16cid:paraId="5A3549A9" w16cid:durableId="20891179"/>
  <w16cid:commentId w16cid:paraId="4957B72E" w16cid:durableId="2089117A"/>
  <w16cid:commentId w16cid:paraId="2DF0DB69" w16cid:durableId="20891CF1"/>
  <w16cid:commentId w16cid:paraId="451B30EF" w16cid:durableId="2089117B"/>
  <w16cid:commentId w16cid:paraId="271FEAE2" w16cid:durableId="20891DA1"/>
  <w16cid:commentId w16cid:paraId="3F3116C4" w16cid:durableId="2089117C"/>
  <w16cid:commentId w16cid:paraId="54392A6F" w16cid:durableId="20891F06"/>
  <w16cid:commentId w16cid:paraId="59434427" w16cid:durableId="2089117D"/>
  <w16cid:commentId w16cid:paraId="4DD08D93" w16cid:durableId="20892022"/>
  <w16cid:commentId w16cid:paraId="049A7C0A" w16cid:durableId="2089117E"/>
  <w16cid:commentId w16cid:paraId="6A5903A7" w16cid:durableId="208922C1"/>
  <w16cid:commentId w16cid:paraId="35954661" w16cid:durableId="208911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1A23F" w14:textId="77777777" w:rsidR="005D7B4D" w:rsidRDefault="005D7B4D" w:rsidP="00FA7B74">
      <w:r>
        <w:separator/>
      </w:r>
    </w:p>
  </w:endnote>
  <w:endnote w:type="continuationSeparator" w:id="0">
    <w:p w14:paraId="16478B62" w14:textId="77777777" w:rsidR="005D7B4D" w:rsidRDefault="005D7B4D" w:rsidP="00FA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charset w:val="00"/>
    <w:family w:val="auto"/>
    <w:pitch w:val="variable"/>
    <w:sig w:usb0="00000001" w:usb1="00000001" w:usb2="00000000" w:usb3="00000000" w:csb0="00000193"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0E3AE" w14:textId="77777777" w:rsidR="005D7B4D" w:rsidRDefault="005D7B4D" w:rsidP="00FA7B74">
      <w:r>
        <w:separator/>
      </w:r>
    </w:p>
  </w:footnote>
  <w:footnote w:type="continuationSeparator" w:id="0">
    <w:p w14:paraId="1846E368" w14:textId="77777777" w:rsidR="005D7B4D" w:rsidRDefault="005D7B4D" w:rsidP="00FA7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A8FF54"/>
    <w:lvl w:ilvl="0">
      <w:start w:val="1"/>
      <w:numFmt w:val="bullet"/>
      <w:pStyle w:val="ListBullet"/>
      <w:lvlText w:val=""/>
      <w:lvlJc w:val="left"/>
      <w:pPr>
        <w:ind w:left="360" w:hanging="360"/>
      </w:pPr>
      <w:rPr>
        <w:rFonts w:ascii="Wingdings 2" w:hAnsi="Wingdings 2" w:hint="default"/>
        <w:color w:val="ED7D31" w:themeColor="accent2"/>
      </w:rPr>
    </w:lvl>
  </w:abstractNum>
  <w:abstractNum w:abstractNumId="1">
    <w:nsid w:val="01ED08B0"/>
    <w:multiLevelType w:val="hybridMultilevel"/>
    <w:tmpl w:val="050C1F10"/>
    <w:lvl w:ilvl="0" w:tplc="50C64E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74AA3"/>
    <w:multiLevelType w:val="hybridMultilevel"/>
    <w:tmpl w:val="03C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21611"/>
    <w:multiLevelType w:val="hybridMultilevel"/>
    <w:tmpl w:val="5EDA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73B36"/>
    <w:multiLevelType w:val="multilevel"/>
    <w:tmpl w:val="FC667800"/>
    <w:lvl w:ilvl="0">
      <w:start w:val="1"/>
      <w:numFmt w:val="bullet"/>
      <w:lvlRestart w:val="0"/>
      <w:pStyle w:val="WSPBullets"/>
      <w:lvlText w:val="■"/>
      <w:lvlJc w:val="left"/>
      <w:pPr>
        <w:ind w:left="357" w:hanging="357"/>
      </w:pPr>
      <w:rPr>
        <w:rFonts w:ascii="Arial" w:hAnsi="Arial" w:cs="Arial"/>
        <w:color w:val="5B9BD5" w:themeColor="accent1"/>
      </w:rPr>
    </w:lvl>
    <w:lvl w:ilvl="1">
      <w:start w:val="1"/>
      <w:numFmt w:val="bullet"/>
      <w:lvlText w:val=""/>
      <w:lvlJc w:val="left"/>
      <w:pPr>
        <w:ind w:left="641" w:hanging="358"/>
      </w:pPr>
      <w:rPr>
        <w:rFonts w:ascii="Symbol" w:hAnsi="Symbol" w:hint="default"/>
        <w:color w:val="666465"/>
      </w:rPr>
    </w:lvl>
    <w:lvl w:ilvl="2">
      <w:start w:val="1"/>
      <w:numFmt w:val="bullet"/>
      <w:lvlText w:val=""/>
      <w:lvlJc w:val="left"/>
      <w:pPr>
        <w:ind w:left="924" w:hanging="357"/>
      </w:pPr>
      <w:rPr>
        <w:rFonts w:ascii="Symbol" w:hAnsi="Symbol" w:hint="default"/>
        <w:color w:val="666465"/>
      </w:rPr>
    </w:lvl>
    <w:lvl w:ilvl="3">
      <w:start w:val="1"/>
      <w:numFmt w:val="bullet"/>
      <w:lvlText w:val=""/>
      <w:lvlJc w:val="left"/>
      <w:pPr>
        <w:ind w:left="1208" w:hanging="358"/>
      </w:pPr>
      <w:rPr>
        <w:rFonts w:ascii="Symbol" w:hAnsi="Symbol" w:hint="default"/>
        <w:color w:val="666465"/>
      </w:rPr>
    </w:lvl>
    <w:lvl w:ilvl="4">
      <w:start w:val="1"/>
      <w:numFmt w:val="bullet"/>
      <w:lvlText w:val=""/>
      <w:lvlJc w:val="left"/>
      <w:pPr>
        <w:ind w:left="1491" w:hanging="357"/>
      </w:pPr>
      <w:rPr>
        <w:rFonts w:ascii="Symbol" w:hAnsi="Symbol" w:hint="default"/>
        <w:color w:val="666465"/>
      </w:rPr>
    </w:lvl>
    <w:lvl w:ilvl="5">
      <w:start w:val="1"/>
      <w:numFmt w:val="bullet"/>
      <w:lvlText w:val=""/>
      <w:lvlJc w:val="left"/>
      <w:pPr>
        <w:ind w:left="1774" w:hanging="357"/>
      </w:pPr>
      <w:rPr>
        <w:rFonts w:ascii="Symbol" w:hAnsi="Symbol" w:hint="default"/>
        <w:color w:val="666465"/>
      </w:rPr>
    </w:lvl>
    <w:lvl w:ilvl="6">
      <w:start w:val="1"/>
      <w:numFmt w:val="bullet"/>
      <w:lvlText w:val=""/>
      <w:lvlJc w:val="left"/>
      <w:pPr>
        <w:ind w:left="2058" w:hanging="357"/>
      </w:pPr>
      <w:rPr>
        <w:rFonts w:ascii="Symbol" w:hAnsi="Symbol" w:hint="default"/>
        <w:color w:val="666465"/>
      </w:rPr>
    </w:lvl>
    <w:lvl w:ilvl="7">
      <w:start w:val="1"/>
      <w:numFmt w:val="bullet"/>
      <w:lvlText w:val=""/>
      <w:lvlJc w:val="left"/>
      <w:pPr>
        <w:ind w:left="2341" w:hanging="357"/>
      </w:pPr>
      <w:rPr>
        <w:rFonts w:ascii="Symbol" w:hAnsi="Symbol" w:hint="default"/>
        <w:color w:val="666465"/>
      </w:rPr>
    </w:lvl>
    <w:lvl w:ilvl="8">
      <w:start w:val="1"/>
      <w:numFmt w:val="bullet"/>
      <w:lvlText w:val=""/>
      <w:lvlJc w:val="left"/>
      <w:pPr>
        <w:ind w:left="2625" w:hanging="357"/>
      </w:pPr>
      <w:rPr>
        <w:rFonts w:ascii="Symbol" w:hAnsi="Symbol" w:hint="default"/>
        <w:color w:val="666465"/>
      </w:rPr>
    </w:lvl>
  </w:abstractNum>
  <w:abstractNum w:abstractNumId="5">
    <w:nsid w:val="1E722E5C"/>
    <w:multiLevelType w:val="hybridMultilevel"/>
    <w:tmpl w:val="1A0C8C4E"/>
    <w:lvl w:ilvl="0" w:tplc="9EE8930E">
      <w:start w:val="3"/>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B6345A"/>
    <w:multiLevelType w:val="multilevel"/>
    <w:tmpl w:val="6842358C"/>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tabs>
          <w:tab w:val="num" w:pos="0"/>
        </w:tabs>
        <w:ind w:left="0" w:hanging="850"/>
      </w:pPr>
      <w:rPr>
        <w:rFonts w:ascii="Montserrat" w:hAnsi="Montserrat" w:hint="default"/>
        <w:b w:val="0"/>
      </w:rPr>
    </w:lvl>
    <w:lvl w:ilvl="3">
      <w:start w:val="1"/>
      <w:numFmt w:val="decimal"/>
      <w:lvlText w:val="%1.%2.%3.%4"/>
      <w:lvlJc w:val="left"/>
      <w:pPr>
        <w:ind w:left="0" w:hanging="851"/>
      </w:pPr>
      <w:rPr>
        <w:rFonts w:hint="default"/>
      </w:rPr>
    </w:lvl>
    <w:lvl w:ilvl="4">
      <w:start w:val="1"/>
      <w:numFmt w:val="decimal"/>
      <w:lvlText w:val="%1.%2.%3.%4.%5"/>
      <w:lvlJc w:val="left"/>
      <w:pPr>
        <w:ind w:left="0" w:hanging="851"/>
      </w:pPr>
      <w:rPr>
        <w:rFonts w:hint="default"/>
      </w:rPr>
    </w:lvl>
    <w:lvl w:ilvl="5">
      <w:start w:val="1"/>
      <w:numFmt w:val="decimal"/>
      <w:lvlText w:val="%1.%2.%3.%4.%5.%6"/>
      <w:lvlJc w:val="left"/>
      <w:pPr>
        <w:ind w:left="0" w:hanging="851"/>
      </w:pPr>
      <w:rPr>
        <w:rFonts w:hint="default"/>
      </w:rPr>
    </w:lvl>
    <w:lvl w:ilvl="6">
      <w:start w:val="1"/>
      <w:numFmt w:val="decimal"/>
      <w:lvlText w:val="%1.%2.%3.%4.%5.%6.%7"/>
      <w:lvlJc w:val="left"/>
      <w:pPr>
        <w:ind w:left="0" w:hanging="851"/>
      </w:pPr>
      <w:rPr>
        <w:rFonts w:hint="default"/>
      </w:rPr>
    </w:lvl>
    <w:lvl w:ilvl="7">
      <w:start w:val="1"/>
      <w:numFmt w:val="decimal"/>
      <w:lvlText w:val="%1.%2.%3.%4.%5.%6.%7.%8"/>
      <w:lvlJc w:val="left"/>
      <w:pPr>
        <w:ind w:left="0" w:hanging="851"/>
      </w:pPr>
      <w:rPr>
        <w:rFonts w:hint="default"/>
      </w:rPr>
    </w:lvl>
    <w:lvl w:ilvl="8">
      <w:start w:val="1"/>
      <w:numFmt w:val="decimal"/>
      <w:lvlText w:val="%1.%2.%3.%4.%5.%6.%7.%8.%9"/>
      <w:lvlJc w:val="left"/>
      <w:pPr>
        <w:ind w:left="0" w:hanging="851"/>
      </w:pPr>
      <w:rPr>
        <w:rFonts w:hint="default"/>
      </w:rPr>
    </w:lvl>
  </w:abstractNum>
  <w:abstractNum w:abstractNumId="7">
    <w:nsid w:val="3A3A15D8"/>
    <w:multiLevelType w:val="hybridMultilevel"/>
    <w:tmpl w:val="74B022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7C6A2E"/>
    <w:multiLevelType w:val="hybridMultilevel"/>
    <w:tmpl w:val="6EE0E498"/>
    <w:lvl w:ilvl="0" w:tplc="5E22D0BE">
      <w:start w:val="3"/>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A55655"/>
    <w:multiLevelType w:val="hybridMultilevel"/>
    <w:tmpl w:val="C778DBAA"/>
    <w:lvl w:ilvl="0" w:tplc="5E22D0BE">
      <w:start w:val="3"/>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78603D"/>
    <w:multiLevelType w:val="hybridMultilevel"/>
    <w:tmpl w:val="BD0E67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EB46B6D"/>
    <w:multiLevelType w:val="hybridMultilevel"/>
    <w:tmpl w:val="052A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9C7751"/>
    <w:multiLevelType w:val="hybridMultilevel"/>
    <w:tmpl w:val="63C63936"/>
    <w:lvl w:ilvl="0" w:tplc="A8E4DE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CD60BA"/>
    <w:multiLevelType w:val="hybridMultilevel"/>
    <w:tmpl w:val="3A4AB632"/>
    <w:lvl w:ilvl="0" w:tplc="88FC95D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6A491E"/>
    <w:multiLevelType w:val="multilevel"/>
    <w:tmpl w:val="E0DE39FC"/>
    <w:name w:val="WSPBullets"/>
    <w:lvl w:ilvl="0">
      <w:start w:val="1"/>
      <w:numFmt w:val="bullet"/>
      <w:lvlRestart w:val="0"/>
      <w:lvlText w:val=""/>
      <w:lvlJc w:val="left"/>
      <w:pPr>
        <w:tabs>
          <w:tab w:val="num" w:pos="283"/>
        </w:tabs>
        <w:ind w:left="283" w:hanging="283"/>
      </w:pPr>
      <w:rPr>
        <w:rFonts w:ascii="Wingdings" w:hAnsi="Wingdings" w:hint="default"/>
        <w:color w:val="FF3300"/>
      </w:rPr>
    </w:lvl>
    <w:lvl w:ilvl="1">
      <w:start w:val="1"/>
      <w:numFmt w:val="bullet"/>
      <w:lvlText w:val=""/>
      <w:lvlJc w:val="left"/>
      <w:pPr>
        <w:tabs>
          <w:tab w:val="num" w:pos="567"/>
        </w:tabs>
        <w:ind w:left="567" w:hanging="284"/>
      </w:pPr>
      <w:rPr>
        <w:rFonts w:ascii="Symbol" w:hAnsi="Symbol" w:hint="default"/>
      </w:rPr>
    </w:lvl>
    <w:lvl w:ilvl="2">
      <w:start w:val="1"/>
      <w:numFmt w:val="bullet"/>
      <w:lvlText w:val=""/>
      <w:lvlJc w:val="left"/>
      <w:pPr>
        <w:tabs>
          <w:tab w:val="num" w:pos="850"/>
        </w:tabs>
        <w:ind w:left="850" w:hanging="283"/>
      </w:pPr>
      <w:rPr>
        <w:rFonts w:ascii="Symbol" w:hAnsi="Symbol" w:hint="default"/>
        <w:color w:val="000000" w:themeColor="text1"/>
      </w:rPr>
    </w:lvl>
    <w:lvl w:ilvl="3">
      <w:start w:val="1"/>
      <w:numFmt w:val="none"/>
      <w:lvlText w:val=""/>
      <w:lvlJc w:val="left"/>
      <w:pPr>
        <w:ind w:left="1134" w:hanging="284"/>
      </w:pPr>
      <w:rPr>
        <w:rFonts w:hint="default"/>
      </w:rPr>
    </w:lvl>
    <w:lvl w:ilvl="4">
      <w:start w:val="1"/>
      <w:numFmt w:val="none"/>
      <w:lvlText w:val=""/>
      <w:lvlJc w:val="left"/>
      <w:pPr>
        <w:ind w:left="1417" w:hanging="283"/>
      </w:pPr>
      <w:rPr>
        <w:rFonts w:hint="default"/>
      </w:rPr>
    </w:lvl>
    <w:lvl w:ilvl="5">
      <w:start w:val="1"/>
      <w:numFmt w:val="none"/>
      <w:lvlText w:val=""/>
      <w:lvlJc w:val="left"/>
      <w:pPr>
        <w:ind w:left="1701" w:hanging="284"/>
      </w:pPr>
      <w:rPr>
        <w:rFonts w:hint="default"/>
      </w:rPr>
    </w:lvl>
    <w:lvl w:ilvl="6">
      <w:start w:val="1"/>
      <w:numFmt w:val="none"/>
      <w:lvlText w:val=""/>
      <w:lvlJc w:val="left"/>
      <w:pPr>
        <w:ind w:left="1984" w:hanging="283"/>
      </w:pPr>
      <w:rPr>
        <w:rFonts w:hint="default"/>
      </w:rPr>
    </w:lvl>
    <w:lvl w:ilvl="7">
      <w:start w:val="1"/>
      <w:numFmt w:val="none"/>
      <w:lvlText w:val=""/>
      <w:lvlJc w:val="left"/>
      <w:pPr>
        <w:ind w:left="2268" w:hanging="284"/>
      </w:pPr>
      <w:rPr>
        <w:rFonts w:hint="default"/>
      </w:rPr>
    </w:lvl>
    <w:lvl w:ilvl="8">
      <w:start w:val="1"/>
      <w:numFmt w:val="none"/>
      <w:lvlText w:val=""/>
      <w:lvlJc w:val="left"/>
      <w:pPr>
        <w:ind w:left="2551" w:hanging="283"/>
      </w:pPr>
      <w:rPr>
        <w:rFonts w:hint="default"/>
      </w:rPr>
    </w:lvl>
  </w:abstractNum>
  <w:abstractNum w:abstractNumId="15">
    <w:nsid w:val="6CE43615"/>
    <w:multiLevelType w:val="hybridMultilevel"/>
    <w:tmpl w:val="0072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8D0567"/>
    <w:multiLevelType w:val="hybridMultilevel"/>
    <w:tmpl w:val="58D457D2"/>
    <w:lvl w:ilvl="0" w:tplc="6520DBB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422185"/>
    <w:multiLevelType w:val="hybridMultilevel"/>
    <w:tmpl w:val="509CEAD4"/>
    <w:lvl w:ilvl="0" w:tplc="88FC95D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0"/>
  </w:num>
  <w:num w:numId="4">
    <w:abstractNumId w:val="6"/>
  </w:num>
  <w:num w:numId="5">
    <w:abstractNumId w:val="12"/>
  </w:num>
  <w:num w:numId="6">
    <w:abstractNumId w:val="7"/>
  </w:num>
  <w:num w:numId="7">
    <w:abstractNumId w:val="0"/>
  </w:num>
  <w:num w:numId="8">
    <w:abstractNumId w:val="2"/>
  </w:num>
  <w:num w:numId="9">
    <w:abstractNumId w:val="5"/>
  </w:num>
  <w:num w:numId="10">
    <w:abstractNumId w:val="16"/>
  </w:num>
  <w:num w:numId="11">
    <w:abstractNumId w:val="13"/>
  </w:num>
  <w:num w:numId="12">
    <w:abstractNumId w:val="4"/>
  </w:num>
  <w:num w:numId="13">
    <w:abstractNumId w:val="3"/>
  </w:num>
  <w:num w:numId="14">
    <w:abstractNumId w:val="11"/>
  </w:num>
  <w:num w:numId="15">
    <w:abstractNumId w:val="9"/>
  </w:num>
  <w:num w:numId="16">
    <w:abstractNumId w:val="8"/>
  </w:num>
  <w:num w:numId="17">
    <w:abstractNumId w:val="1"/>
  </w:num>
  <w:num w:numId="18">
    <w:abstractNumId w:val="15"/>
  </w:num>
  <w:num w:numId="19">
    <w:abstractNumId w:val="14"/>
  </w:num>
  <w:num w:numId="20">
    <w:abstractNumId w:val="1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num>
  <w:num w:numId="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son, Joe">
    <w15:presenceInfo w15:providerId="AD" w15:userId="S-1-5-21-527237240-1500820517-725345543-743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BC"/>
    <w:rsid w:val="00005B84"/>
    <w:rsid w:val="0000789D"/>
    <w:rsid w:val="00016648"/>
    <w:rsid w:val="00021E25"/>
    <w:rsid w:val="00023ADB"/>
    <w:rsid w:val="00026FF3"/>
    <w:rsid w:val="000434D0"/>
    <w:rsid w:val="00043C55"/>
    <w:rsid w:val="00055D05"/>
    <w:rsid w:val="00063501"/>
    <w:rsid w:val="000661A0"/>
    <w:rsid w:val="000673F5"/>
    <w:rsid w:val="00074404"/>
    <w:rsid w:val="000803A1"/>
    <w:rsid w:val="000814A6"/>
    <w:rsid w:val="000863DE"/>
    <w:rsid w:val="000A0B21"/>
    <w:rsid w:val="000A7980"/>
    <w:rsid w:val="000B0085"/>
    <w:rsid w:val="000B4355"/>
    <w:rsid w:val="000B649E"/>
    <w:rsid w:val="000C1F7C"/>
    <w:rsid w:val="000C2E0F"/>
    <w:rsid w:val="000C3AD0"/>
    <w:rsid w:val="000C5477"/>
    <w:rsid w:val="000E4786"/>
    <w:rsid w:val="000F6E07"/>
    <w:rsid w:val="001112C9"/>
    <w:rsid w:val="0011236F"/>
    <w:rsid w:val="001144BB"/>
    <w:rsid w:val="00121FFB"/>
    <w:rsid w:val="001245C2"/>
    <w:rsid w:val="00126C91"/>
    <w:rsid w:val="00126CFB"/>
    <w:rsid w:val="00131CA7"/>
    <w:rsid w:val="0014086E"/>
    <w:rsid w:val="001534E5"/>
    <w:rsid w:val="00161A99"/>
    <w:rsid w:val="00162F24"/>
    <w:rsid w:val="0016576D"/>
    <w:rsid w:val="00167CF6"/>
    <w:rsid w:val="00173F70"/>
    <w:rsid w:val="001817AC"/>
    <w:rsid w:val="00181E3F"/>
    <w:rsid w:val="001900E0"/>
    <w:rsid w:val="0019577E"/>
    <w:rsid w:val="001B4E8D"/>
    <w:rsid w:val="001B5AA2"/>
    <w:rsid w:val="001B63DA"/>
    <w:rsid w:val="001C68E8"/>
    <w:rsid w:val="001D5E1F"/>
    <w:rsid w:val="001E32F5"/>
    <w:rsid w:val="001F2850"/>
    <w:rsid w:val="0021003F"/>
    <w:rsid w:val="002155A3"/>
    <w:rsid w:val="002162A6"/>
    <w:rsid w:val="002320D5"/>
    <w:rsid w:val="00235E0E"/>
    <w:rsid w:val="00242F90"/>
    <w:rsid w:val="0024387C"/>
    <w:rsid w:val="00245FC0"/>
    <w:rsid w:val="00251019"/>
    <w:rsid w:val="00261055"/>
    <w:rsid w:val="00261B4A"/>
    <w:rsid w:val="00265CA8"/>
    <w:rsid w:val="002670BC"/>
    <w:rsid w:val="00283603"/>
    <w:rsid w:val="002B3365"/>
    <w:rsid w:val="002B4E4E"/>
    <w:rsid w:val="002B71FA"/>
    <w:rsid w:val="002E0AF5"/>
    <w:rsid w:val="002E44C9"/>
    <w:rsid w:val="002F633A"/>
    <w:rsid w:val="002F6342"/>
    <w:rsid w:val="002F66B2"/>
    <w:rsid w:val="00303EF7"/>
    <w:rsid w:val="003166FB"/>
    <w:rsid w:val="00322282"/>
    <w:rsid w:val="00322825"/>
    <w:rsid w:val="00324F55"/>
    <w:rsid w:val="00326D6C"/>
    <w:rsid w:val="00333B41"/>
    <w:rsid w:val="00334A82"/>
    <w:rsid w:val="003359CD"/>
    <w:rsid w:val="0034566C"/>
    <w:rsid w:val="00356B79"/>
    <w:rsid w:val="003647A5"/>
    <w:rsid w:val="00371984"/>
    <w:rsid w:val="00377661"/>
    <w:rsid w:val="00386E74"/>
    <w:rsid w:val="00391654"/>
    <w:rsid w:val="00392F88"/>
    <w:rsid w:val="0039462E"/>
    <w:rsid w:val="003A08B4"/>
    <w:rsid w:val="003B25F4"/>
    <w:rsid w:val="003B2BA2"/>
    <w:rsid w:val="003B2ED5"/>
    <w:rsid w:val="003B5A3B"/>
    <w:rsid w:val="003C0F11"/>
    <w:rsid w:val="003D56B9"/>
    <w:rsid w:val="003D72EB"/>
    <w:rsid w:val="003E6001"/>
    <w:rsid w:val="003F2B31"/>
    <w:rsid w:val="00401A74"/>
    <w:rsid w:val="00403042"/>
    <w:rsid w:val="004060CF"/>
    <w:rsid w:val="004156B2"/>
    <w:rsid w:val="00417A40"/>
    <w:rsid w:val="0042169C"/>
    <w:rsid w:val="004217B6"/>
    <w:rsid w:val="00423B8E"/>
    <w:rsid w:val="00423D2E"/>
    <w:rsid w:val="00427854"/>
    <w:rsid w:val="004322CA"/>
    <w:rsid w:val="004347D6"/>
    <w:rsid w:val="004377D1"/>
    <w:rsid w:val="004521C4"/>
    <w:rsid w:val="00452FBF"/>
    <w:rsid w:val="00460C53"/>
    <w:rsid w:val="00461C36"/>
    <w:rsid w:val="0046239E"/>
    <w:rsid w:val="00466E6F"/>
    <w:rsid w:val="00481286"/>
    <w:rsid w:val="00483E96"/>
    <w:rsid w:val="004A3B45"/>
    <w:rsid w:val="004B01A6"/>
    <w:rsid w:val="004C257A"/>
    <w:rsid w:val="004C576B"/>
    <w:rsid w:val="004C7459"/>
    <w:rsid w:val="004D1481"/>
    <w:rsid w:val="004D770F"/>
    <w:rsid w:val="004E0C15"/>
    <w:rsid w:val="004E5C52"/>
    <w:rsid w:val="00500A37"/>
    <w:rsid w:val="00502A94"/>
    <w:rsid w:val="00512782"/>
    <w:rsid w:val="00520339"/>
    <w:rsid w:val="00523F5A"/>
    <w:rsid w:val="00524569"/>
    <w:rsid w:val="00526C85"/>
    <w:rsid w:val="00533CA1"/>
    <w:rsid w:val="00536301"/>
    <w:rsid w:val="005363DD"/>
    <w:rsid w:val="0053728D"/>
    <w:rsid w:val="00546F57"/>
    <w:rsid w:val="00551DD2"/>
    <w:rsid w:val="005572F0"/>
    <w:rsid w:val="005639A6"/>
    <w:rsid w:val="0056439B"/>
    <w:rsid w:val="00567823"/>
    <w:rsid w:val="0057223B"/>
    <w:rsid w:val="00573357"/>
    <w:rsid w:val="00576E2A"/>
    <w:rsid w:val="005862BD"/>
    <w:rsid w:val="0059212E"/>
    <w:rsid w:val="005957EE"/>
    <w:rsid w:val="005A485D"/>
    <w:rsid w:val="005A63EB"/>
    <w:rsid w:val="005B2153"/>
    <w:rsid w:val="005B595A"/>
    <w:rsid w:val="005C050A"/>
    <w:rsid w:val="005C23F6"/>
    <w:rsid w:val="005D7B4D"/>
    <w:rsid w:val="005E64FD"/>
    <w:rsid w:val="005F15E1"/>
    <w:rsid w:val="005F6C5C"/>
    <w:rsid w:val="0060278F"/>
    <w:rsid w:val="0061033E"/>
    <w:rsid w:val="00626EA4"/>
    <w:rsid w:val="006338BA"/>
    <w:rsid w:val="00640B0C"/>
    <w:rsid w:val="006432CB"/>
    <w:rsid w:val="00645420"/>
    <w:rsid w:val="00647874"/>
    <w:rsid w:val="00651156"/>
    <w:rsid w:val="0065238D"/>
    <w:rsid w:val="0065360B"/>
    <w:rsid w:val="0066668D"/>
    <w:rsid w:val="006670E3"/>
    <w:rsid w:val="00667D11"/>
    <w:rsid w:val="0067109E"/>
    <w:rsid w:val="00673262"/>
    <w:rsid w:val="00676455"/>
    <w:rsid w:val="006776C5"/>
    <w:rsid w:val="00685ABD"/>
    <w:rsid w:val="00685EB7"/>
    <w:rsid w:val="006A05FA"/>
    <w:rsid w:val="006B1152"/>
    <w:rsid w:val="006B3ABE"/>
    <w:rsid w:val="006C1955"/>
    <w:rsid w:val="006E1CFC"/>
    <w:rsid w:val="006E2A6D"/>
    <w:rsid w:val="006F18F0"/>
    <w:rsid w:val="006F2A5B"/>
    <w:rsid w:val="006F7BAC"/>
    <w:rsid w:val="0071496A"/>
    <w:rsid w:val="00726B34"/>
    <w:rsid w:val="00731312"/>
    <w:rsid w:val="00736BD3"/>
    <w:rsid w:val="00737EB6"/>
    <w:rsid w:val="007536E4"/>
    <w:rsid w:val="0075799B"/>
    <w:rsid w:val="00763DC4"/>
    <w:rsid w:val="00765B15"/>
    <w:rsid w:val="00774121"/>
    <w:rsid w:val="00775B7C"/>
    <w:rsid w:val="0078165F"/>
    <w:rsid w:val="00781ED7"/>
    <w:rsid w:val="00792065"/>
    <w:rsid w:val="00796A8A"/>
    <w:rsid w:val="007971CC"/>
    <w:rsid w:val="007A07D7"/>
    <w:rsid w:val="007A36B8"/>
    <w:rsid w:val="007B0A7F"/>
    <w:rsid w:val="007B1E7B"/>
    <w:rsid w:val="007C5860"/>
    <w:rsid w:val="007C75E2"/>
    <w:rsid w:val="007C78FF"/>
    <w:rsid w:val="0080131C"/>
    <w:rsid w:val="008014BC"/>
    <w:rsid w:val="008132FD"/>
    <w:rsid w:val="00822DF0"/>
    <w:rsid w:val="008249F1"/>
    <w:rsid w:val="00834324"/>
    <w:rsid w:val="00835B24"/>
    <w:rsid w:val="00840C79"/>
    <w:rsid w:val="00845ECD"/>
    <w:rsid w:val="00856FAC"/>
    <w:rsid w:val="00857B3E"/>
    <w:rsid w:val="00857F5E"/>
    <w:rsid w:val="00860246"/>
    <w:rsid w:val="008621CE"/>
    <w:rsid w:val="00863977"/>
    <w:rsid w:val="00875118"/>
    <w:rsid w:val="00883253"/>
    <w:rsid w:val="00883EFB"/>
    <w:rsid w:val="008849F6"/>
    <w:rsid w:val="00886EC0"/>
    <w:rsid w:val="00886F2A"/>
    <w:rsid w:val="00887EA3"/>
    <w:rsid w:val="008902C9"/>
    <w:rsid w:val="008948BD"/>
    <w:rsid w:val="008A20AF"/>
    <w:rsid w:val="008A623C"/>
    <w:rsid w:val="008C3985"/>
    <w:rsid w:val="008C774D"/>
    <w:rsid w:val="008D1B7C"/>
    <w:rsid w:val="008D2FAF"/>
    <w:rsid w:val="008D3B8F"/>
    <w:rsid w:val="008D4C37"/>
    <w:rsid w:val="008D56F2"/>
    <w:rsid w:val="008E1682"/>
    <w:rsid w:val="008F0274"/>
    <w:rsid w:val="008F60EC"/>
    <w:rsid w:val="009030BE"/>
    <w:rsid w:val="00904C48"/>
    <w:rsid w:val="00906A83"/>
    <w:rsid w:val="009161DC"/>
    <w:rsid w:val="00932C43"/>
    <w:rsid w:val="00936637"/>
    <w:rsid w:val="00943B5E"/>
    <w:rsid w:val="00945DF5"/>
    <w:rsid w:val="0095143F"/>
    <w:rsid w:val="00952D09"/>
    <w:rsid w:val="009537F4"/>
    <w:rsid w:val="0096009D"/>
    <w:rsid w:val="00970929"/>
    <w:rsid w:val="0098083D"/>
    <w:rsid w:val="00981549"/>
    <w:rsid w:val="009833CA"/>
    <w:rsid w:val="00991B1F"/>
    <w:rsid w:val="009A5621"/>
    <w:rsid w:val="009C1B96"/>
    <w:rsid w:val="009C4F2D"/>
    <w:rsid w:val="009C5155"/>
    <w:rsid w:val="009D389A"/>
    <w:rsid w:val="009D4411"/>
    <w:rsid w:val="009D50FC"/>
    <w:rsid w:val="009E31D1"/>
    <w:rsid w:val="009F13BB"/>
    <w:rsid w:val="009F5295"/>
    <w:rsid w:val="00A003B0"/>
    <w:rsid w:val="00A07D64"/>
    <w:rsid w:val="00A13D2E"/>
    <w:rsid w:val="00A14FB6"/>
    <w:rsid w:val="00A20BC7"/>
    <w:rsid w:val="00A30017"/>
    <w:rsid w:val="00A30CD3"/>
    <w:rsid w:val="00A36998"/>
    <w:rsid w:val="00A427D5"/>
    <w:rsid w:val="00A42938"/>
    <w:rsid w:val="00A50E31"/>
    <w:rsid w:val="00A57D48"/>
    <w:rsid w:val="00A66647"/>
    <w:rsid w:val="00A70459"/>
    <w:rsid w:val="00A72A7E"/>
    <w:rsid w:val="00A741D2"/>
    <w:rsid w:val="00A921D2"/>
    <w:rsid w:val="00AA3368"/>
    <w:rsid w:val="00AB2602"/>
    <w:rsid w:val="00AB4E6A"/>
    <w:rsid w:val="00AB6CC9"/>
    <w:rsid w:val="00AB79AA"/>
    <w:rsid w:val="00AD6156"/>
    <w:rsid w:val="00AF75B4"/>
    <w:rsid w:val="00B00200"/>
    <w:rsid w:val="00B1268F"/>
    <w:rsid w:val="00B13BDE"/>
    <w:rsid w:val="00B212C7"/>
    <w:rsid w:val="00B24A7A"/>
    <w:rsid w:val="00B27FB1"/>
    <w:rsid w:val="00B45EA8"/>
    <w:rsid w:val="00B53926"/>
    <w:rsid w:val="00B55E5E"/>
    <w:rsid w:val="00B63B3C"/>
    <w:rsid w:val="00B669F5"/>
    <w:rsid w:val="00B77A40"/>
    <w:rsid w:val="00B86389"/>
    <w:rsid w:val="00B9133E"/>
    <w:rsid w:val="00B942BD"/>
    <w:rsid w:val="00BA42EB"/>
    <w:rsid w:val="00BA7F3B"/>
    <w:rsid w:val="00BB4067"/>
    <w:rsid w:val="00BB4DEE"/>
    <w:rsid w:val="00BB6FF3"/>
    <w:rsid w:val="00BB7FE1"/>
    <w:rsid w:val="00BD1F89"/>
    <w:rsid w:val="00BE0B9E"/>
    <w:rsid w:val="00BE4B57"/>
    <w:rsid w:val="00BE69AC"/>
    <w:rsid w:val="00BF61B5"/>
    <w:rsid w:val="00C03822"/>
    <w:rsid w:val="00C11A9E"/>
    <w:rsid w:val="00C121FA"/>
    <w:rsid w:val="00C2099C"/>
    <w:rsid w:val="00C226C2"/>
    <w:rsid w:val="00C26F13"/>
    <w:rsid w:val="00C33620"/>
    <w:rsid w:val="00C36BB5"/>
    <w:rsid w:val="00C40098"/>
    <w:rsid w:val="00C45604"/>
    <w:rsid w:val="00C47626"/>
    <w:rsid w:val="00C52F27"/>
    <w:rsid w:val="00C5456F"/>
    <w:rsid w:val="00C57AA7"/>
    <w:rsid w:val="00C86900"/>
    <w:rsid w:val="00C9082D"/>
    <w:rsid w:val="00CB39E9"/>
    <w:rsid w:val="00CC4C1A"/>
    <w:rsid w:val="00CD1A81"/>
    <w:rsid w:val="00CD2AF9"/>
    <w:rsid w:val="00CD3965"/>
    <w:rsid w:val="00CE16D7"/>
    <w:rsid w:val="00CE2BF7"/>
    <w:rsid w:val="00CE7D89"/>
    <w:rsid w:val="00D12394"/>
    <w:rsid w:val="00D50207"/>
    <w:rsid w:val="00D63870"/>
    <w:rsid w:val="00D73305"/>
    <w:rsid w:val="00DA1A02"/>
    <w:rsid w:val="00DB4258"/>
    <w:rsid w:val="00DB7E65"/>
    <w:rsid w:val="00DC37E7"/>
    <w:rsid w:val="00DC59C4"/>
    <w:rsid w:val="00DE0D11"/>
    <w:rsid w:val="00DE7406"/>
    <w:rsid w:val="00DF2396"/>
    <w:rsid w:val="00DF2AF4"/>
    <w:rsid w:val="00DF755F"/>
    <w:rsid w:val="00DF7F52"/>
    <w:rsid w:val="00E03138"/>
    <w:rsid w:val="00E0619F"/>
    <w:rsid w:val="00E15A06"/>
    <w:rsid w:val="00E16144"/>
    <w:rsid w:val="00E17865"/>
    <w:rsid w:val="00E31E59"/>
    <w:rsid w:val="00E371B9"/>
    <w:rsid w:val="00E41C9A"/>
    <w:rsid w:val="00E50C0C"/>
    <w:rsid w:val="00E52B60"/>
    <w:rsid w:val="00E53479"/>
    <w:rsid w:val="00E55283"/>
    <w:rsid w:val="00E562C2"/>
    <w:rsid w:val="00E619D2"/>
    <w:rsid w:val="00E772D7"/>
    <w:rsid w:val="00E87831"/>
    <w:rsid w:val="00E87AD0"/>
    <w:rsid w:val="00E96CBF"/>
    <w:rsid w:val="00E96E6C"/>
    <w:rsid w:val="00E973BC"/>
    <w:rsid w:val="00EA2958"/>
    <w:rsid w:val="00EA4E0D"/>
    <w:rsid w:val="00EB707B"/>
    <w:rsid w:val="00EF1E87"/>
    <w:rsid w:val="00F155E7"/>
    <w:rsid w:val="00F1626E"/>
    <w:rsid w:val="00F20760"/>
    <w:rsid w:val="00F20A9A"/>
    <w:rsid w:val="00F276F1"/>
    <w:rsid w:val="00F42530"/>
    <w:rsid w:val="00F4388E"/>
    <w:rsid w:val="00F4550A"/>
    <w:rsid w:val="00F52AD2"/>
    <w:rsid w:val="00F5773F"/>
    <w:rsid w:val="00F673E5"/>
    <w:rsid w:val="00F731C1"/>
    <w:rsid w:val="00F74B69"/>
    <w:rsid w:val="00F846D0"/>
    <w:rsid w:val="00F87722"/>
    <w:rsid w:val="00FA7B74"/>
    <w:rsid w:val="00FB1625"/>
    <w:rsid w:val="00FB460B"/>
    <w:rsid w:val="00FC7BD5"/>
    <w:rsid w:val="00FF4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F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5" w:qFormat="1"/>
    <w:lsdException w:name="List Bullet 2" w:uiPriority="5" w:qFormat="1"/>
    <w:lsdException w:name="List Bullet 3" w:uiPriority="5" w:qFormat="1"/>
    <w:lsdException w:name="Title" w:semiHidden="0" w:uiPriority="14"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cs="Arial"/>
      <w:sz w:val="24"/>
    </w:rPr>
  </w:style>
  <w:style w:type="paragraph" w:styleId="Heading1">
    <w:name w:val="heading 1"/>
    <w:basedOn w:val="Normal"/>
    <w:next w:val="Normal"/>
    <w:link w:val="Heading1Char"/>
    <w:uiPriority w:val="9"/>
    <w:qFormat/>
    <w:rsid w:val="005F6C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F6C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jc w:val="left"/>
    </w:pPr>
    <w:rPr>
      <w:rFonts w:ascii="Tahoma" w:hAnsi="Tahoma" w:cs="Tahoma"/>
      <w:sz w:val="16"/>
      <w:lang w:val="en-US"/>
    </w:rPr>
  </w:style>
  <w:style w:type="paragraph" w:customStyle="1" w:styleId="MainText">
    <w:name w:val="MainText"/>
    <w:basedOn w:val="Normal"/>
    <w:pPr>
      <w:spacing w:after="120" w:line="269" w:lineRule="atLeast"/>
      <w:jc w:val="left"/>
    </w:pPr>
    <w:rPr>
      <w:sz w:val="20"/>
    </w:rPr>
  </w:style>
  <w:style w:type="paragraph" w:styleId="ListParagraph">
    <w:name w:val="List Paragraph"/>
    <w:basedOn w:val="Normal"/>
    <w:uiPriority w:val="34"/>
    <w:qFormat/>
    <w:pPr>
      <w:ind w:left="720"/>
    </w:pPr>
  </w:style>
  <w:style w:type="paragraph" w:styleId="BodyText">
    <w:name w:val="Body Text"/>
    <w:basedOn w:val="Normal"/>
    <w:link w:val="BodyTextChar"/>
    <w:qFormat/>
    <w:pPr>
      <w:spacing w:after="240"/>
      <w:jc w:val="left"/>
    </w:pPr>
    <w:rPr>
      <w:color w:val="008080"/>
      <w:sz w:val="20"/>
    </w:rPr>
  </w:style>
  <w:style w:type="paragraph" w:styleId="Header">
    <w:name w:val="header"/>
    <w:basedOn w:val="Normal"/>
    <w:link w:val="HeaderChar"/>
    <w:uiPriority w:val="99"/>
    <w:unhideWhenUsed/>
    <w:rsid w:val="00FA7B74"/>
    <w:pPr>
      <w:tabs>
        <w:tab w:val="center" w:pos="4513"/>
        <w:tab w:val="right" w:pos="9026"/>
      </w:tabs>
    </w:pPr>
  </w:style>
  <w:style w:type="character" w:customStyle="1" w:styleId="HeaderChar">
    <w:name w:val="Header Char"/>
    <w:basedOn w:val="DefaultParagraphFont"/>
    <w:link w:val="Header"/>
    <w:uiPriority w:val="99"/>
    <w:rsid w:val="00FA7B74"/>
    <w:rPr>
      <w:rFonts w:ascii="Arial" w:hAnsi="Arial" w:cs="Arial"/>
      <w:sz w:val="24"/>
    </w:rPr>
  </w:style>
  <w:style w:type="paragraph" w:styleId="Footer">
    <w:name w:val="footer"/>
    <w:basedOn w:val="Normal"/>
    <w:link w:val="FooterChar"/>
    <w:uiPriority w:val="99"/>
    <w:unhideWhenUsed/>
    <w:rsid w:val="00FA7B74"/>
    <w:pPr>
      <w:tabs>
        <w:tab w:val="center" w:pos="4513"/>
        <w:tab w:val="right" w:pos="9026"/>
      </w:tabs>
    </w:pPr>
  </w:style>
  <w:style w:type="character" w:customStyle="1" w:styleId="FooterChar">
    <w:name w:val="Footer Char"/>
    <w:basedOn w:val="DefaultParagraphFont"/>
    <w:link w:val="Footer"/>
    <w:uiPriority w:val="99"/>
    <w:rsid w:val="00FA7B74"/>
    <w:rPr>
      <w:rFonts w:ascii="Arial" w:hAnsi="Arial" w:cs="Arial"/>
      <w:sz w:val="24"/>
    </w:rPr>
  </w:style>
  <w:style w:type="paragraph" w:customStyle="1" w:styleId="TableText">
    <w:name w:val="Table Text"/>
    <w:basedOn w:val="Normal"/>
    <w:link w:val="TableTextChar"/>
    <w:qFormat/>
    <w:rsid w:val="005F6C5C"/>
    <w:pPr>
      <w:jc w:val="left"/>
    </w:pPr>
    <w:rPr>
      <w:rFonts w:eastAsiaTheme="minorHAnsi" w:cstheme="minorBidi"/>
      <w:color w:val="44546A" w:themeColor="text2"/>
      <w:sz w:val="20"/>
      <w:szCs w:val="22"/>
      <w:lang w:eastAsia="en-US"/>
    </w:rPr>
  </w:style>
  <w:style w:type="character" w:customStyle="1" w:styleId="TableTextChar">
    <w:name w:val="Table Text Char"/>
    <w:basedOn w:val="DefaultParagraphFont"/>
    <w:link w:val="TableText"/>
    <w:locked/>
    <w:rsid w:val="005F6C5C"/>
    <w:rPr>
      <w:rFonts w:ascii="Arial" w:eastAsiaTheme="minorHAnsi" w:hAnsi="Arial" w:cstheme="minorBidi"/>
      <w:color w:val="44546A" w:themeColor="text2"/>
      <w:szCs w:val="22"/>
      <w:lang w:eastAsia="en-US"/>
    </w:rPr>
  </w:style>
  <w:style w:type="paragraph" w:customStyle="1" w:styleId="WSPBullets">
    <w:name w:val="WSP Bullets"/>
    <w:basedOn w:val="ListParagraph"/>
    <w:link w:val="WSPBulletsChar"/>
    <w:uiPriority w:val="99"/>
    <w:qFormat/>
    <w:rsid w:val="005F6C5C"/>
    <w:pPr>
      <w:numPr>
        <w:numId w:val="2"/>
      </w:numPr>
      <w:suppressAutoHyphens/>
      <w:spacing w:after="120"/>
      <w:jc w:val="left"/>
    </w:pPr>
    <w:rPr>
      <w:rFonts w:cs="Times New Roman"/>
      <w:sz w:val="20"/>
      <w:szCs w:val="24"/>
      <w:lang w:eastAsia="en-US"/>
    </w:rPr>
  </w:style>
  <w:style w:type="character" w:customStyle="1" w:styleId="WSPBulletsChar">
    <w:name w:val="WSP Bullets Char"/>
    <w:basedOn w:val="DefaultParagraphFont"/>
    <w:link w:val="WSPBullets"/>
    <w:uiPriority w:val="99"/>
    <w:rsid w:val="005F6C5C"/>
    <w:rPr>
      <w:rFonts w:ascii="Arial" w:hAnsi="Arial"/>
      <w:szCs w:val="24"/>
      <w:lang w:eastAsia="en-US"/>
    </w:rPr>
  </w:style>
  <w:style w:type="paragraph" w:styleId="ListBullet">
    <w:name w:val="List Bullet"/>
    <w:aliases w:val="List Bullet Indent"/>
    <w:basedOn w:val="Normal"/>
    <w:uiPriority w:val="5"/>
    <w:qFormat/>
    <w:rsid w:val="005F6C5C"/>
    <w:pPr>
      <w:numPr>
        <w:numId w:val="3"/>
      </w:numPr>
      <w:spacing w:after="120"/>
      <w:contextualSpacing/>
      <w:jc w:val="left"/>
    </w:pPr>
    <w:rPr>
      <w:rFonts w:eastAsiaTheme="minorHAnsi" w:cstheme="minorBidi"/>
      <w:color w:val="44546A" w:themeColor="text2"/>
      <w:sz w:val="20"/>
      <w:szCs w:val="22"/>
      <w:lang w:eastAsia="en-US"/>
    </w:rPr>
  </w:style>
  <w:style w:type="paragraph" w:customStyle="1" w:styleId="NumH1">
    <w:name w:val="Num H1"/>
    <w:basedOn w:val="Heading1"/>
    <w:next w:val="NumBodyText"/>
    <w:uiPriority w:val="4"/>
    <w:qFormat/>
    <w:rsid w:val="005F6C5C"/>
    <w:pPr>
      <w:pageBreakBefore/>
      <w:pBdr>
        <w:bottom w:val="single" w:sz="4" w:space="1" w:color="ED7D31" w:themeColor="accent2"/>
      </w:pBdr>
      <w:spacing w:after="240"/>
      <w:jc w:val="left"/>
    </w:pPr>
    <w:rPr>
      <w:rFonts w:ascii="Arial" w:hAnsi="Arial"/>
      <w:b/>
      <w:caps/>
      <w:color w:val="000000" w:themeColor="text1"/>
      <w:lang w:eastAsia="en-US"/>
    </w:rPr>
  </w:style>
  <w:style w:type="paragraph" w:customStyle="1" w:styleId="NumH2">
    <w:name w:val="Num H2"/>
    <w:basedOn w:val="Heading2"/>
    <w:next w:val="NumBodyText"/>
    <w:uiPriority w:val="4"/>
    <w:qFormat/>
    <w:rsid w:val="005F6C5C"/>
    <w:pPr>
      <w:spacing w:after="60"/>
      <w:jc w:val="left"/>
    </w:pPr>
    <w:rPr>
      <w:rFonts w:ascii="Arial Bold" w:hAnsi="Arial Bold"/>
      <w:b/>
      <w:caps/>
      <w:color w:val="000000" w:themeColor="text1"/>
      <w:sz w:val="28"/>
      <w:lang w:eastAsia="en-US"/>
    </w:rPr>
  </w:style>
  <w:style w:type="paragraph" w:customStyle="1" w:styleId="NumBodyText">
    <w:name w:val="Num Body Text"/>
    <w:basedOn w:val="Normal"/>
    <w:uiPriority w:val="1"/>
    <w:qFormat/>
    <w:rsid w:val="005F6C5C"/>
    <w:pPr>
      <w:spacing w:after="120"/>
      <w:jc w:val="left"/>
    </w:pPr>
    <w:rPr>
      <w:rFonts w:eastAsiaTheme="minorHAnsi" w:cstheme="minorBidi"/>
      <w:color w:val="44546A" w:themeColor="text2"/>
      <w:sz w:val="20"/>
      <w:szCs w:val="22"/>
      <w:lang w:eastAsia="en-US"/>
    </w:rPr>
  </w:style>
  <w:style w:type="character" w:customStyle="1" w:styleId="Heading1Char">
    <w:name w:val="Heading 1 Char"/>
    <w:basedOn w:val="DefaultParagraphFont"/>
    <w:link w:val="Heading1"/>
    <w:uiPriority w:val="9"/>
    <w:rsid w:val="005F6C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F6C5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23F5A"/>
    <w:rPr>
      <w:sz w:val="16"/>
      <w:szCs w:val="16"/>
    </w:rPr>
  </w:style>
  <w:style w:type="paragraph" w:styleId="CommentText">
    <w:name w:val="annotation text"/>
    <w:basedOn w:val="Normal"/>
    <w:link w:val="CommentTextChar"/>
    <w:uiPriority w:val="99"/>
    <w:unhideWhenUsed/>
    <w:rsid w:val="00523F5A"/>
    <w:rPr>
      <w:sz w:val="20"/>
    </w:rPr>
  </w:style>
  <w:style w:type="character" w:customStyle="1" w:styleId="CommentTextChar">
    <w:name w:val="Comment Text Char"/>
    <w:basedOn w:val="DefaultParagraphFont"/>
    <w:link w:val="CommentText"/>
    <w:uiPriority w:val="99"/>
    <w:rsid w:val="00523F5A"/>
    <w:rPr>
      <w:rFonts w:ascii="Arial" w:hAnsi="Arial" w:cs="Arial"/>
    </w:rPr>
  </w:style>
  <w:style w:type="paragraph" w:styleId="CommentSubject">
    <w:name w:val="annotation subject"/>
    <w:basedOn w:val="CommentText"/>
    <w:next w:val="CommentText"/>
    <w:link w:val="CommentSubjectChar"/>
    <w:uiPriority w:val="99"/>
    <w:semiHidden/>
    <w:unhideWhenUsed/>
    <w:rsid w:val="00523F5A"/>
    <w:rPr>
      <w:b/>
      <w:bCs/>
    </w:rPr>
  </w:style>
  <w:style w:type="character" w:customStyle="1" w:styleId="CommentSubjectChar">
    <w:name w:val="Comment Subject Char"/>
    <w:basedOn w:val="CommentTextChar"/>
    <w:link w:val="CommentSubject"/>
    <w:uiPriority w:val="99"/>
    <w:semiHidden/>
    <w:rsid w:val="00523F5A"/>
    <w:rPr>
      <w:rFonts w:ascii="Arial" w:hAnsi="Arial" w:cs="Arial"/>
      <w:b/>
      <w:bCs/>
    </w:rPr>
  </w:style>
  <w:style w:type="paragraph" w:styleId="Revision">
    <w:name w:val="Revision"/>
    <w:hidden/>
    <w:uiPriority w:val="99"/>
    <w:semiHidden/>
    <w:rsid w:val="004C576B"/>
    <w:rPr>
      <w:rFonts w:ascii="Arial" w:hAnsi="Arial" w:cs="Arial"/>
      <w:sz w:val="24"/>
    </w:rPr>
  </w:style>
  <w:style w:type="table" w:customStyle="1" w:styleId="WSP1">
    <w:name w:val="WSP1"/>
    <w:basedOn w:val="TableNormal"/>
    <w:uiPriority w:val="99"/>
    <w:rsid w:val="00533CA1"/>
    <w:rPr>
      <w:rFonts w:ascii="Arial" w:eastAsiaTheme="minorHAnsi" w:hAnsi="Arial" w:cstheme="minorBidi"/>
      <w:color w:val="333E48"/>
      <w:sz w:val="22"/>
      <w:szCs w:val="22"/>
      <w:lang w:eastAsia="en-US"/>
    </w:rPr>
    <w:tblPr>
      <w:tblStyleRowBandSize w:val="1"/>
      <w:tblBorders>
        <w:top w:val="single" w:sz="4" w:space="0" w:color="D8E6F0"/>
        <w:left w:val="single" w:sz="4" w:space="0" w:color="D8E6F0"/>
        <w:bottom w:val="single" w:sz="4" w:space="0" w:color="D8E6F0"/>
        <w:right w:val="single" w:sz="4" w:space="0" w:color="D8E6F0"/>
        <w:insideH w:val="single" w:sz="4" w:space="0" w:color="A5A59D"/>
        <w:insideV w:val="single" w:sz="4" w:space="0" w:color="A5A59D"/>
      </w:tblBorders>
      <w:tblCellMar>
        <w:top w:w="57" w:type="dxa"/>
        <w:bottom w:w="57" w:type="dxa"/>
      </w:tblCellMar>
    </w:tblPr>
    <w:tblStylePr w:type="firstRow">
      <w:rPr>
        <w:color w:val="F9423A"/>
      </w:rPr>
      <w:tblPr/>
      <w:tcPr>
        <w:tcBorders>
          <w:top w:val="single" w:sz="4" w:space="0" w:color="D8E6F0"/>
          <w:left w:val="single" w:sz="4" w:space="0" w:color="D8E6F0"/>
          <w:bottom w:val="single" w:sz="4" w:space="0" w:color="F9423A"/>
          <w:right w:val="single" w:sz="4" w:space="0" w:color="D8E6F0"/>
          <w:insideH w:val="nil"/>
          <w:insideV w:val="single" w:sz="4" w:space="0" w:color="A5A59D"/>
          <w:tl2br w:val="nil"/>
          <w:tr2bl w:val="nil"/>
        </w:tcBorders>
      </w:tcPr>
    </w:tblStylePr>
    <w:tblStylePr w:type="band1Horz">
      <w:tblPr/>
      <w:tcPr>
        <w:tcBorders>
          <w:top w:val="single" w:sz="4" w:space="0" w:color="A5A59D"/>
          <w:left w:val="single" w:sz="4" w:space="0" w:color="D8E6F0"/>
          <w:bottom w:val="single" w:sz="4" w:space="0" w:color="A5A59D"/>
          <w:right w:val="single" w:sz="4" w:space="0" w:color="D8E6F0"/>
          <w:insideH w:val="nil"/>
          <w:insideV w:val="single" w:sz="4" w:space="0" w:color="A5A59D"/>
          <w:tl2br w:val="nil"/>
          <w:tr2bl w:val="nil"/>
        </w:tcBorders>
        <w:shd w:val="clear" w:color="auto" w:fill="D8E6F0"/>
      </w:tcPr>
    </w:tblStylePr>
  </w:style>
  <w:style w:type="paragraph" w:styleId="NoSpacing">
    <w:name w:val="No Spacing"/>
    <w:uiPriority w:val="1"/>
    <w:qFormat/>
    <w:rsid w:val="00E772D7"/>
    <w:pPr>
      <w:jc w:val="both"/>
    </w:pPr>
    <w:rPr>
      <w:rFonts w:ascii="Arial" w:hAnsi="Arial" w:cs="Arial"/>
      <w:sz w:val="24"/>
    </w:rPr>
  </w:style>
  <w:style w:type="character" w:customStyle="1" w:styleId="BodyTextChar">
    <w:name w:val="Body Text Char"/>
    <w:basedOn w:val="DefaultParagraphFont"/>
    <w:link w:val="BodyText"/>
    <w:rsid w:val="0056439B"/>
    <w:rPr>
      <w:rFonts w:ascii="Arial" w:hAnsi="Arial" w:cs="Arial"/>
      <w:color w:val="008080"/>
    </w:rPr>
  </w:style>
  <w:style w:type="paragraph" w:styleId="ListBullet2">
    <w:name w:val="List Bullet 2"/>
    <w:basedOn w:val="Normal"/>
    <w:uiPriority w:val="5"/>
    <w:qFormat/>
    <w:rsid w:val="0056439B"/>
    <w:pPr>
      <w:tabs>
        <w:tab w:val="num" w:pos="567"/>
      </w:tabs>
      <w:spacing w:before="120" w:after="120" w:line="276" w:lineRule="auto"/>
      <w:ind w:left="567" w:hanging="284"/>
      <w:contextualSpacing/>
      <w:jc w:val="left"/>
    </w:pPr>
    <w:rPr>
      <w:rFonts w:eastAsiaTheme="minorHAnsi" w:cstheme="minorBidi"/>
      <w:sz w:val="22"/>
      <w:szCs w:val="22"/>
      <w:lang w:eastAsia="en-US"/>
    </w:rPr>
  </w:style>
  <w:style w:type="paragraph" w:styleId="ListBullet3">
    <w:name w:val="List Bullet 3"/>
    <w:basedOn w:val="Normal"/>
    <w:uiPriority w:val="5"/>
    <w:qFormat/>
    <w:rsid w:val="0056439B"/>
    <w:pPr>
      <w:tabs>
        <w:tab w:val="num" w:pos="850"/>
      </w:tabs>
      <w:spacing w:before="120" w:after="120" w:line="276" w:lineRule="auto"/>
      <w:ind w:left="850" w:hanging="283"/>
      <w:contextualSpacing/>
      <w:jc w:val="left"/>
    </w:pPr>
    <w:rPr>
      <w:rFonts w:eastAsiaTheme="minorHAnsi" w:cstheme="minorBidi"/>
      <w:sz w:val="22"/>
      <w:szCs w:val="22"/>
      <w:lang w:eastAsia="en-US"/>
    </w:rPr>
  </w:style>
  <w:style w:type="paragraph" w:styleId="Title">
    <w:name w:val="Title"/>
    <w:basedOn w:val="Normal"/>
    <w:next w:val="Subtitle"/>
    <w:link w:val="TitleChar"/>
    <w:uiPriority w:val="14"/>
    <w:rsid w:val="0056439B"/>
    <w:pPr>
      <w:spacing w:before="120" w:after="60" w:line="276" w:lineRule="auto"/>
      <w:jc w:val="left"/>
    </w:pPr>
    <w:rPr>
      <w:rFonts w:ascii="Arial Bold" w:eastAsiaTheme="minorHAnsi" w:hAnsi="Arial Bold" w:cstheme="minorBidi"/>
      <w:b/>
      <w:caps/>
      <w:sz w:val="56"/>
      <w:szCs w:val="22"/>
      <w:lang w:eastAsia="en-US"/>
    </w:rPr>
  </w:style>
  <w:style w:type="character" w:customStyle="1" w:styleId="TitleChar">
    <w:name w:val="Title Char"/>
    <w:basedOn w:val="DefaultParagraphFont"/>
    <w:link w:val="Title"/>
    <w:uiPriority w:val="14"/>
    <w:rsid w:val="0056439B"/>
    <w:rPr>
      <w:rFonts w:ascii="Arial Bold" w:eastAsiaTheme="minorHAnsi" w:hAnsi="Arial Bold" w:cstheme="minorBidi"/>
      <w:b/>
      <w:caps/>
      <w:sz w:val="56"/>
      <w:szCs w:val="22"/>
      <w:lang w:eastAsia="en-US"/>
    </w:rPr>
  </w:style>
  <w:style w:type="paragraph" w:styleId="Subtitle">
    <w:name w:val="Subtitle"/>
    <w:basedOn w:val="Normal"/>
    <w:next w:val="Normal"/>
    <w:link w:val="SubtitleChar"/>
    <w:uiPriority w:val="11"/>
    <w:qFormat/>
    <w:rsid w:val="005643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6439B"/>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5" w:qFormat="1"/>
    <w:lsdException w:name="List Bullet 2" w:uiPriority="5" w:qFormat="1"/>
    <w:lsdException w:name="List Bullet 3" w:uiPriority="5" w:qFormat="1"/>
    <w:lsdException w:name="Title" w:semiHidden="0" w:uiPriority="14"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cs="Arial"/>
      <w:sz w:val="24"/>
    </w:rPr>
  </w:style>
  <w:style w:type="paragraph" w:styleId="Heading1">
    <w:name w:val="heading 1"/>
    <w:basedOn w:val="Normal"/>
    <w:next w:val="Normal"/>
    <w:link w:val="Heading1Char"/>
    <w:uiPriority w:val="9"/>
    <w:qFormat/>
    <w:rsid w:val="005F6C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F6C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jc w:val="left"/>
    </w:pPr>
    <w:rPr>
      <w:rFonts w:ascii="Tahoma" w:hAnsi="Tahoma" w:cs="Tahoma"/>
      <w:sz w:val="16"/>
      <w:lang w:val="en-US"/>
    </w:rPr>
  </w:style>
  <w:style w:type="paragraph" w:customStyle="1" w:styleId="MainText">
    <w:name w:val="MainText"/>
    <w:basedOn w:val="Normal"/>
    <w:pPr>
      <w:spacing w:after="120" w:line="269" w:lineRule="atLeast"/>
      <w:jc w:val="left"/>
    </w:pPr>
    <w:rPr>
      <w:sz w:val="20"/>
    </w:rPr>
  </w:style>
  <w:style w:type="paragraph" w:styleId="ListParagraph">
    <w:name w:val="List Paragraph"/>
    <w:basedOn w:val="Normal"/>
    <w:uiPriority w:val="34"/>
    <w:qFormat/>
    <w:pPr>
      <w:ind w:left="720"/>
    </w:pPr>
  </w:style>
  <w:style w:type="paragraph" w:styleId="BodyText">
    <w:name w:val="Body Text"/>
    <w:basedOn w:val="Normal"/>
    <w:link w:val="BodyTextChar"/>
    <w:qFormat/>
    <w:pPr>
      <w:spacing w:after="240"/>
      <w:jc w:val="left"/>
    </w:pPr>
    <w:rPr>
      <w:color w:val="008080"/>
      <w:sz w:val="20"/>
    </w:rPr>
  </w:style>
  <w:style w:type="paragraph" w:styleId="Header">
    <w:name w:val="header"/>
    <w:basedOn w:val="Normal"/>
    <w:link w:val="HeaderChar"/>
    <w:uiPriority w:val="99"/>
    <w:unhideWhenUsed/>
    <w:rsid w:val="00FA7B74"/>
    <w:pPr>
      <w:tabs>
        <w:tab w:val="center" w:pos="4513"/>
        <w:tab w:val="right" w:pos="9026"/>
      </w:tabs>
    </w:pPr>
  </w:style>
  <w:style w:type="character" w:customStyle="1" w:styleId="HeaderChar">
    <w:name w:val="Header Char"/>
    <w:basedOn w:val="DefaultParagraphFont"/>
    <w:link w:val="Header"/>
    <w:uiPriority w:val="99"/>
    <w:rsid w:val="00FA7B74"/>
    <w:rPr>
      <w:rFonts w:ascii="Arial" w:hAnsi="Arial" w:cs="Arial"/>
      <w:sz w:val="24"/>
    </w:rPr>
  </w:style>
  <w:style w:type="paragraph" w:styleId="Footer">
    <w:name w:val="footer"/>
    <w:basedOn w:val="Normal"/>
    <w:link w:val="FooterChar"/>
    <w:uiPriority w:val="99"/>
    <w:unhideWhenUsed/>
    <w:rsid w:val="00FA7B74"/>
    <w:pPr>
      <w:tabs>
        <w:tab w:val="center" w:pos="4513"/>
        <w:tab w:val="right" w:pos="9026"/>
      </w:tabs>
    </w:pPr>
  </w:style>
  <w:style w:type="character" w:customStyle="1" w:styleId="FooterChar">
    <w:name w:val="Footer Char"/>
    <w:basedOn w:val="DefaultParagraphFont"/>
    <w:link w:val="Footer"/>
    <w:uiPriority w:val="99"/>
    <w:rsid w:val="00FA7B74"/>
    <w:rPr>
      <w:rFonts w:ascii="Arial" w:hAnsi="Arial" w:cs="Arial"/>
      <w:sz w:val="24"/>
    </w:rPr>
  </w:style>
  <w:style w:type="paragraph" w:customStyle="1" w:styleId="TableText">
    <w:name w:val="Table Text"/>
    <w:basedOn w:val="Normal"/>
    <w:link w:val="TableTextChar"/>
    <w:qFormat/>
    <w:rsid w:val="005F6C5C"/>
    <w:pPr>
      <w:jc w:val="left"/>
    </w:pPr>
    <w:rPr>
      <w:rFonts w:eastAsiaTheme="minorHAnsi" w:cstheme="minorBidi"/>
      <w:color w:val="44546A" w:themeColor="text2"/>
      <w:sz w:val="20"/>
      <w:szCs w:val="22"/>
      <w:lang w:eastAsia="en-US"/>
    </w:rPr>
  </w:style>
  <w:style w:type="character" w:customStyle="1" w:styleId="TableTextChar">
    <w:name w:val="Table Text Char"/>
    <w:basedOn w:val="DefaultParagraphFont"/>
    <w:link w:val="TableText"/>
    <w:locked/>
    <w:rsid w:val="005F6C5C"/>
    <w:rPr>
      <w:rFonts w:ascii="Arial" w:eastAsiaTheme="minorHAnsi" w:hAnsi="Arial" w:cstheme="minorBidi"/>
      <w:color w:val="44546A" w:themeColor="text2"/>
      <w:szCs w:val="22"/>
      <w:lang w:eastAsia="en-US"/>
    </w:rPr>
  </w:style>
  <w:style w:type="paragraph" w:customStyle="1" w:styleId="WSPBullets">
    <w:name w:val="WSP Bullets"/>
    <w:basedOn w:val="ListParagraph"/>
    <w:link w:val="WSPBulletsChar"/>
    <w:uiPriority w:val="99"/>
    <w:qFormat/>
    <w:rsid w:val="005F6C5C"/>
    <w:pPr>
      <w:numPr>
        <w:numId w:val="2"/>
      </w:numPr>
      <w:suppressAutoHyphens/>
      <w:spacing w:after="120"/>
      <w:jc w:val="left"/>
    </w:pPr>
    <w:rPr>
      <w:rFonts w:cs="Times New Roman"/>
      <w:sz w:val="20"/>
      <w:szCs w:val="24"/>
      <w:lang w:eastAsia="en-US"/>
    </w:rPr>
  </w:style>
  <w:style w:type="character" w:customStyle="1" w:styleId="WSPBulletsChar">
    <w:name w:val="WSP Bullets Char"/>
    <w:basedOn w:val="DefaultParagraphFont"/>
    <w:link w:val="WSPBullets"/>
    <w:uiPriority w:val="99"/>
    <w:rsid w:val="005F6C5C"/>
    <w:rPr>
      <w:rFonts w:ascii="Arial" w:hAnsi="Arial"/>
      <w:szCs w:val="24"/>
      <w:lang w:eastAsia="en-US"/>
    </w:rPr>
  </w:style>
  <w:style w:type="paragraph" w:styleId="ListBullet">
    <w:name w:val="List Bullet"/>
    <w:aliases w:val="List Bullet Indent"/>
    <w:basedOn w:val="Normal"/>
    <w:uiPriority w:val="5"/>
    <w:qFormat/>
    <w:rsid w:val="005F6C5C"/>
    <w:pPr>
      <w:numPr>
        <w:numId w:val="3"/>
      </w:numPr>
      <w:spacing w:after="120"/>
      <w:contextualSpacing/>
      <w:jc w:val="left"/>
    </w:pPr>
    <w:rPr>
      <w:rFonts w:eastAsiaTheme="minorHAnsi" w:cstheme="minorBidi"/>
      <w:color w:val="44546A" w:themeColor="text2"/>
      <w:sz w:val="20"/>
      <w:szCs w:val="22"/>
      <w:lang w:eastAsia="en-US"/>
    </w:rPr>
  </w:style>
  <w:style w:type="paragraph" w:customStyle="1" w:styleId="NumH1">
    <w:name w:val="Num H1"/>
    <w:basedOn w:val="Heading1"/>
    <w:next w:val="NumBodyText"/>
    <w:uiPriority w:val="4"/>
    <w:qFormat/>
    <w:rsid w:val="005F6C5C"/>
    <w:pPr>
      <w:pageBreakBefore/>
      <w:pBdr>
        <w:bottom w:val="single" w:sz="4" w:space="1" w:color="ED7D31" w:themeColor="accent2"/>
      </w:pBdr>
      <w:spacing w:after="240"/>
      <w:jc w:val="left"/>
    </w:pPr>
    <w:rPr>
      <w:rFonts w:ascii="Arial" w:hAnsi="Arial"/>
      <w:b/>
      <w:caps/>
      <w:color w:val="000000" w:themeColor="text1"/>
      <w:lang w:eastAsia="en-US"/>
    </w:rPr>
  </w:style>
  <w:style w:type="paragraph" w:customStyle="1" w:styleId="NumH2">
    <w:name w:val="Num H2"/>
    <w:basedOn w:val="Heading2"/>
    <w:next w:val="NumBodyText"/>
    <w:uiPriority w:val="4"/>
    <w:qFormat/>
    <w:rsid w:val="005F6C5C"/>
    <w:pPr>
      <w:spacing w:after="60"/>
      <w:jc w:val="left"/>
    </w:pPr>
    <w:rPr>
      <w:rFonts w:ascii="Arial Bold" w:hAnsi="Arial Bold"/>
      <w:b/>
      <w:caps/>
      <w:color w:val="000000" w:themeColor="text1"/>
      <w:sz w:val="28"/>
      <w:lang w:eastAsia="en-US"/>
    </w:rPr>
  </w:style>
  <w:style w:type="paragraph" w:customStyle="1" w:styleId="NumBodyText">
    <w:name w:val="Num Body Text"/>
    <w:basedOn w:val="Normal"/>
    <w:uiPriority w:val="1"/>
    <w:qFormat/>
    <w:rsid w:val="005F6C5C"/>
    <w:pPr>
      <w:spacing w:after="120"/>
      <w:jc w:val="left"/>
    </w:pPr>
    <w:rPr>
      <w:rFonts w:eastAsiaTheme="minorHAnsi" w:cstheme="minorBidi"/>
      <w:color w:val="44546A" w:themeColor="text2"/>
      <w:sz w:val="20"/>
      <w:szCs w:val="22"/>
      <w:lang w:eastAsia="en-US"/>
    </w:rPr>
  </w:style>
  <w:style w:type="character" w:customStyle="1" w:styleId="Heading1Char">
    <w:name w:val="Heading 1 Char"/>
    <w:basedOn w:val="DefaultParagraphFont"/>
    <w:link w:val="Heading1"/>
    <w:uiPriority w:val="9"/>
    <w:rsid w:val="005F6C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F6C5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23F5A"/>
    <w:rPr>
      <w:sz w:val="16"/>
      <w:szCs w:val="16"/>
    </w:rPr>
  </w:style>
  <w:style w:type="paragraph" w:styleId="CommentText">
    <w:name w:val="annotation text"/>
    <w:basedOn w:val="Normal"/>
    <w:link w:val="CommentTextChar"/>
    <w:uiPriority w:val="99"/>
    <w:unhideWhenUsed/>
    <w:rsid w:val="00523F5A"/>
    <w:rPr>
      <w:sz w:val="20"/>
    </w:rPr>
  </w:style>
  <w:style w:type="character" w:customStyle="1" w:styleId="CommentTextChar">
    <w:name w:val="Comment Text Char"/>
    <w:basedOn w:val="DefaultParagraphFont"/>
    <w:link w:val="CommentText"/>
    <w:uiPriority w:val="99"/>
    <w:rsid w:val="00523F5A"/>
    <w:rPr>
      <w:rFonts w:ascii="Arial" w:hAnsi="Arial" w:cs="Arial"/>
    </w:rPr>
  </w:style>
  <w:style w:type="paragraph" w:styleId="CommentSubject">
    <w:name w:val="annotation subject"/>
    <w:basedOn w:val="CommentText"/>
    <w:next w:val="CommentText"/>
    <w:link w:val="CommentSubjectChar"/>
    <w:uiPriority w:val="99"/>
    <w:semiHidden/>
    <w:unhideWhenUsed/>
    <w:rsid w:val="00523F5A"/>
    <w:rPr>
      <w:b/>
      <w:bCs/>
    </w:rPr>
  </w:style>
  <w:style w:type="character" w:customStyle="1" w:styleId="CommentSubjectChar">
    <w:name w:val="Comment Subject Char"/>
    <w:basedOn w:val="CommentTextChar"/>
    <w:link w:val="CommentSubject"/>
    <w:uiPriority w:val="99"/>
    <w:semiHidden/>
    <w:rsid w:val="00523F5A"/>
    <w:rPr>
      <w:rFonts w:ascii="Arial" w:hAnsi="Arial" w:cs="Arial"/>
      <w:b/>
      <w:bCs/>
    </w:rPr>
  </w:style>
  <w:style w:type="paragraph" w:styleId="Revision">
    <w:name w:val="Revision"/>
    <w:hidden/>
    <w:uiPriority w:val="99"/>
    <w:semiHidden/>
    <w:rsid w:val="004C576B"/>
    <w:rPr>
      <w:rFonts w:ascii="Arial" w:hAnsi="Arial" w:cs="Arial"/>
      <w:sz w:val="24"/>
    </w:rPr>
  </w:style>
  <w:style w:type="table" w:customStyle="1" w:styleId="WSP1">
    <w:name w:val="WSP1"/>
    <w:basedOn w:val="TableNormal"/>
    <w:uiPriority w:val="99"/>
    <w:rsid w:val="00533CA1"/>
    <w:rPr>
      <w:rFonts w:ascii="Arial" w:eastAsiaTheme="minorHAnsi" w:hAnsi="Arial" w:cstheme="minorBidi"/>
      <w:color w:val="333E48"/>
      <w:sz w:val="22"/>
      <w:szCs w:val="22"/>
      <w:lang w:eastAsia="en-US"/>
    </w:rPr>
    <w:tblPr>
      <w:tblStyleRowBandSize w:val="1"/>
      <w:tblBorders>
        <w:top w:val="single" w:sz="4" w:space="0" w:color="D8E6F0"/>
        <w:left w:val="single" w:sz="4" w:space="0" w:color="D8E6F0"/>
        <w:bottom w:val="single" w:sz="4" w:space="0" w:color="D8E6F0"/>
        <w:right w:val="single" w:sz="4" w:space="0" w:color="D8E6F0"/>
        <w:insideH w:val="single" w:sz="4" w:space="0" w:color="A5A59D"/>
        <w:insideV w:val="single" w:sz="4" w:space="0" w:color="A5A59D"/>
      </w:tblBorders>
      <w:tblCellMar>
        <w:top w:w="57" w:type="dxa"/>
        <w:bottom w:w="57" w:type="dxa"/>
      </w:tblCellMar>
    </w:tblPr>
    <w:tblStylePr w:type="firstRow">
      <w:rPr>
        <w:color w:val="F9423A"/>
      </w:rPr>
      <w:tblPr/>
      <w:tcPr>
        <w:tcBorders>
          <w:top w:val="single" w:sz="4" w:space="0" w:color="D8E6F0"/>
          <w:left w:val="single" w:sz="4" w:space="0" w:color="D8E6F0"/>
          <w:bottom w:val="single" w:sz="4" w:space="0" w:color="F9423A"/>
          <w:right w:val="single" w:sz="4" w:space="0" w:color="D8E6F0"/>
          <w:insideH w:val="nil"/>
          <w:insideV w:val="single" w:sz="4" w:space="0" w:color="A5A59D"/>
          <w:tl2br w:val="nil"/>
          <w:tr2bl w:val="nil"/>
        </w:tcBorders>
      </w:tcPr>
    </w:tblStylePr>
    <w:tblStylePr w:type="band1Horz">
      <w:tblPr/>
      <w:tcPr>
        <w:tcBorders>
          <w:top w:val="single" w:sz="4" w:space="0" w:color="A5A59D"/>
          <w:left w:val="single" w:sz="4" w:space="0" w:color="D8E6F0"/>
          <w:bottom w:val="single" w:sz="4" w:space="0" w:color="A5A59D"/>
          <w:right w:val="single" w:sz="4" w:space="0" w:color="D8E6F0"/>
          <w:insideH w:val="nil"/>
          <w:insideV w:val="single" w:sz="4" w:space="0" w:color="A5A59D"/>
          <w:tl2br w:val="nil"/>
          <w:tr2bl w:val="nil"/>
        </w:tcBorders>
        <w:shd w:val="clear" w:color="auto" w:fill="D8E6F0"/>
      </w:tcPr>
    </w:tblStylePr>
  </w:style>
  <w:style w:type="paragraph" w:styleId="NoSpacing">
    <w:name w:val="No Spacing"/>
    <w:uiPriority w:val="1"/>
    <w:qFormat/>
    <w:rsid w:val="00E772D7"/>
    <w:pPr>
      <w:jc w:val="both"/>
    </w:pPr>
    <w:rPr>
      <w:rFonts w:ascii="Arial" w:hAnsi="Arial" w:cs="Arial"/>
      <w:sz w:val="24"/>
    </w:rPr>
  </w:style>
  <w:style w:type="character" w:customStyle="1" w:styleId="BodyTextChar">
    <w:name w:val="Body Text Char"/>
    <w:basedOn w:val="DefaultParagraphFont"/>
    <w:link w:val="BodyText"/>
    <w:rsid w:val="0056439B"/>
    <w:rPr>
      <w:rFonts w:ascii="Arial" w:hAnsi="Arial" w:cs="Arial"/>
      <w:color w:val="008080"/>
    </w:rPr>
  </w:style>
  <w:style w:type="paragraph" w:styleId="ListBullet2">
    <w:name w:val="List Bullet 2"/>
    <w:basedOn w:val="Normal"/>
    <w:uiPriority w:val="5"/>
    <w:qFormat/>
    <w:rsid w:val="0056439B"/>
    <w:pPr>
      <w:tabs>
        <w:tab w:val="num" w:pos="567"/>
      </w:tabs>
      <w:spacing w:before="120" w:after="120" w:line="276" w:lineRule="auto"/>
      <w:ind w:left="567" w:hanging="284"/>
      <w:contextualSpacing/>
      <w:jc w:val="left"/>
    </w:pPr>
    <w:rPr>
      <w:rFonts w:eastAsiaTheme="minorHAnsi" w:cstheme="minorBidi"/>
      <w:sz w:val="22"/>
      <w:szCs w:val="22"/>
      <w:lang w:eastAsia="en-US"/>
    </w:rPr>
  </w:style>
  <w:style w:type="paragraph" w:styleId="ListBullet3">
    <w:name w:val="List Bullet 3"/>
    <w:basedOn w:val="Normal"/>
    <w:uiPriority w:val="5"/>
    <w:qFormat/>
    <w:rsid w:val="0056439B"/>
    <w:pPr>
      <w:tabs>
        <w:tab w:val="num" w:pos="850"/>
      </w:tabs>
      <w:spacing w:before="120" w:after="120" w:line="276" w:lineRule="auto"/>
      <w:ind w:left="850" w:hanging="283"/>
      <w:contextualSpacing/>
      <w:jc w:val="left"/>
    </w:pPr>
    <w:rPr>
      <w:rFonts w:eastAsiaTheme="minorHAnsi" w:cstheme="minorBidi"/>
      <w:sz w:val="22"/>
      <w:szCs w:val="22"/>
      <w:lang w:eastAsia="en-US"/>
    </w:rPr>
  </w:style>
  <w:style w:type="paragraph" w:styleId="Title">
    <w:name w:val="Title"/>
    <w:basedOn w:val="Normal"/>
    <w:next w:val="Subtitle"/>
    <w:link w:val="TitleChar"/>
    <w:uiPriority w:val="14"/>
    <w:rsid w:val="0056439B"/>
    <w:pPr>
      <w:spacing w:before="120" w:after="60" w:line="276" w:lineRule="auto"/>
      <w:jc w:val="left"/>
    </w:pPr>
    <w:rPr>
      <w:rFonts w:ascii="Arial Bold" w:eastAsiaTheme="minorHAnsi" w:hAnsi="Arial Bold" w:cstheme="minorBidi"/>
      <w:b/>
      <w:caps/>
      <w:sz w:val="56"/>
      <w:szCs w:val="22"/>
      <w:lang w:eastAsia="en-US"/>
    </w:rPr>
  </w:style>
  <w:style w:type="character" w:customStyle="1" w:styleId="TitleChar">
    <w:name w:val="Title Char"/>
    <w:basedOn w:val="DefaultParagraphFont"/>
    <w:link w:val="Title"/>
    <w:uiPriority w:val="14"/>
    <w:rsid w:val="0056439B"/>
    <w:rPr>
      <w:rFonts w:ascii="Arial Bold" w:eastAsiaTheme="minorHAnsi" w:hAnsi="Arial Bold" w:cstheme="minorBidi"/>
      <w:b/>
      <w:caps/>
      <w:sz w:val="56"/>
      <w:szCs w:val="22"/>
      <w:lang w:eastAsia="en-US"/>
    </w:rPr>
  </w:style>
  <w:style w:type="paragraph" w:styleId="Subtitle">
    <w:name w:val="Subtitle"/>
    <w:basedOn w:val="Normal"/>
    <w:next w:val="Normal"/>
    <w:link w:val="SubtitleChar"/>
    <w:uiPriority w:val="11"/>
    <w:qFormat/>
    <w:rsid w:val="005643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6439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FCDF-7616-48A4-B5EE-E8DE13581D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0CFE7E2-FEB8-4829-A592-85975BEA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AAndrusiewicz</dc:creator>
  <cp:keywords>[EBRD]</cp:keywords>
  <cp:lastModifiedBy>user</cp:lastModifiedBy>
  <cp:revision>2</cp:revision>
  <dcterms:created xsi:type="dcterms:W3CDTF">2019-08-22T09:30:00Z</dcterms:created>
  <dcterms:modified xsi:type="dcterms:W3CDTF">2019-08-22T09:30:00Z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08205fa5-37f9-403b-94ee-af67c69eaded</vt:lpwstr>
  </property>
  <property fmtid="{D5CDD505-2E9C-101B-9397-08002B2CF9AE}" pid="3" name="bjSaver">
    <vt:lpwstr>VbE4Q9uGyIWQ3Qqlql3KAW+An9QnX5oL</vt:lpwstr>
  </property>
  <property fmtid="{D5CDD505-2E9C-101B-9397-08002B2CF9AE}" pid="4" name="bjDocumentSecurityLabel">
    <vt:lpwstr>This item has no classification</vt:lpwstr>
  </property>
</Properties>
</file>